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51E8" w14:textId="77777777" w:rsidR="009D6445" w:rsidRPr="00AB1E35" w:rsidRDefault="009D6445" w:rsidP="009D6445">
      <w:pPr>
        <w:rPr>
          <w:b/>
          <w:sz w:val="24"/>
          <w:szCs w:val="24"/>
          <w:lang w:val="nn-NO"/>
        </w:rPr>
      </w:pPr>
      <w:r w:rsidRPr="00AB1E35">
        <w:rPr>
          <w:b/>
          <w:sz w:val="24"/>
          <w:szCs w:val="24"/>
          <w:lang w:val="nn-NO"/>
        </w:rPr>
        <w:t>Enkeltvedtak om … for (namn)</w:t>
      </w:r>
      <w:r w:rsidRPr="00AB1E35">
        <w:rPr>
          <w:b/>
          <w:sz w:val="24"/>
          <w:szCs w:val="24"/>
          <w:lang w:val="nn-NO"/>
        </w:rPr>
        <w:br/>
      </w:r>
      <w:r w:rsidRPr="00AB1E35">
        <w:rPr>
          <w:i/>
          <w:iCs/>
          <w:sz w:val="20"/>
          <w:szCs w:val="20"/>
          <w:lang w:val="nn-NO"/>
        </w:rPr>
        <w:t>Elevens namn og fødselsår</w:t>
      </w:r>
    </w:p>
    <w:p w14:paraId="5C6D1349" w14:textId="77777777" w:rsidR="009D6445" w:rsidRPr="00AB1E35" w:rsidRDefault="009D6445" w:rsidP="009D6445">
      <w:pPr>
        <w:rPr>
          <w:sz w:val="20"/>
          <w:szCs w:val="20"/>
          <w:lang w:val="nn-NO"/>
        </w:rPr>
      </w:pPr>
      <w:r w:rsidRPr="00AB1E35">
        <w:rPr>
          <w:sz w:val="20"/>
          <w:szCs w:val="20"/>
          <w:lang w:val="nn-NO"/>
        </w:rPr>
        <w:t>Eg viser til møtet/brevet/søknaden/oppmodinga som vart sendt (</w:t>
      </w:r>
      <w:r w:rsidRPr="00AB1E35">
        <w:rPr>
          <w:i/>
          <w:sz w:val="20"/>
          <w:szCs w:val="20"/>
          <w:lang w:val="nn-NO"/>
        </w:rPr>
        <w:t>dato</w:t>
      </w:r>
      <w:r w:rsidRPr="00AB1E35">
        <w:rPr>
          <w:sz w:val="20"/>
          <w:szCs w:val="20"/>
          <w:lang w:val="nn-NO"/>
        </w:rPr>
        <w:t>), der det kom fram at (</w:t>
      </w:r>
      <w:r w:rsidRPr="00AB1E35">
        <w:rPr>
          <w:i/>
          <w:iCs/>
          <w:sz w:val="20"/>
          <w:szCs w:val="20"/>
          <w:lang w:val="nn-NO"/>
        </w:rPr>
        <w:t>fyll inn ei kort tilvising til kva du skal gjere enkeltvedtak om</w:t>
      </w:r>
      <w:r w:rsidRPr="00AB1E35">
        <w:rPr>
          <w:sz w:val="20"/>
          <w:szCs w:val="20"/>
          <w:lang w:val="nn-NO"/>
        </w:rPr>
        <w:t>).</w:t>
      </w:r>
    </w:p>
    <w:p w14:paraId="5F89C7D6" w14:textId="77777777" w:rsidR="009D6445" w:rsidRPr="00AB1E35" w:rsidRDefault="009D6445" w:rsidP="009D6445">
      <w:pPr>
        <w:rPr>
          <w:b/>
          <w:sz w:val="20"/>
          <w:szCs w:val="20"/>
          <w:lang w:val="nn-NO"/>
        </w:rPr>
      </w:pPr>
      <w:r w:rsidRPr="00AB1E35">
        <w:rPr>
          <w:b/>
          <w:sz w:val="20"/>
          <w:szCs w:val="20"/>
          <w:lang w:val="nn-NO"/>
        </w:rPr>
        <w:t>Godkjenning eller avslag</w:t>
      </w:r>
      <w:r w:rsidRPr="00AB1E35">
        <w:rPr>
          <w:b/>
          <w:sz w:val="20"/>
          <w:szCs w:val="20"/>
          <w:lang w:val="nn-NO"/>
        </w:rPr>
        <w:br/>
      </w:r>
      <w:r w:rsidRPr="00AB1E35">
        <w:rPr>
          <w:i/>
          <w:iCs/>
          <w:sz w:val="20"/>
          <w:szCs w:val="20"/>
          <w:lang w:val="nn-NO"/>
        </w:rPr>
        <w:t>Her må du seie noko om kva vedtaket gjeld og kva som er resultatet i saka:</w:t>
      </w:r>
      <w:r w:rsidRPr="00AB1E35">
        <w:rPr>
          <w:i/>
          <w:iCs/>
          <w:sz w:val="20"/>
          <w:szCs w:val="20"/>
          <w:lang w:val="nn-NO"/>
        </w:rPr>
        <w:br/>
        <w:t>Du må seie noko om kva du konkret har gjort vedtak om, innhaldet i retten, eventuell organisering, omfang av retten, andre tiltak og anna som er relevant.</w:t>
      </w:r>
    </w:p>
    <w:p w14:paraId="43C4414C" w14:textId="77777777" w:rsidR="009D6445" w:rsidRPr="00AB1E35" w:rsidRDefault="009D6445" w:rsidP="009D6445">
      <w:pPr>
        <w:rPr>
          <w:b/>
          <w:sz w:val="20"/>
          <w:szCs w:val="20"/>
          <w:lang w:val="nn-NO"/>
        </w:rPr>
      </w:pPr>
      <w:r w:rsidRPr="00AB1E35">
        <w:rPr>
          <w:b/>
          <w:sz w:val="20"/>
          <w:szCs w:val="20"/>
          <w:lang w:val="nn-NO"/>
        </w:rPr>
        <w:t>Rettsleg grunnlag</w:t>
      </w:r>
      <w:r w:rsidRPr="00AB1E35">
        <w:rPr>
          <w:b/>
          <w:sz w:val="20"/>
          <w:szCs w:val="20"/>
          <w:lang w:val="nn-NO"/>
        </w:rPr>
        <w:br/>
      </w:r>
      <w:r w:rsidRPr="00AB1E35">
        <w:rPr>
          <w:i/>
          <w:iCs/>
          <w:sz w:val="20"/>
          <w:szCs w:val="20"/>
          <w:lang w:val="nn-NO"/>
        </w:rPr>
        <w:t xml:space="preserve">Her må du vise til lova eller forskrifta som er aktuell i denne saka. Vi rår til at du tek med sitatet frå regelverket, med paragrafnummer, til dømes opplæringslova § 5-1. Du kan gjerne forklare kva reglane tyder, om det kan vere vanskeleg å forstå. </w:t>
      </w:r>
    </w:p>
    <w:p w14:paraId="5B09D14E" w14:textId="77777777" w:rsidR="009D6445" w:rsidRPr="00AB1E35" w:rsidRDefault="009D6445" w:rsidP="009D6445">
      <w:pPr>
        <w:rPr>
          <w:i/>
          <w:iCs/>
          <w:sz w:val="20"/>
          <w:szCs w:val="20"/>
          <w:lang w:val="nn-NO"/>
        </w:rPr>
      </w:pPr>
      <w:r w:rsidRPr="00AB1E35">
        <w:rPr>
          <w:i/>
          <w:iCs/>
          <w:sz w:val="20"/>
          <w:szCs w:val="20"/>
          <w:lang w:val="nn-NO"/>
        </w:rPr>
        <w:t>Dersom du har gjort eit vedtak om spesialundervisning, kan du til dømes forklare det slik:</w:t>
      </w:r>
      <w:r>
        <w:rPr>
          <w:i/>
          <w:iCs/>
          <w:sz w:val="20"/>
          <w:szCs w:val="20"/>
          <w:lang w:val="nn-NO"/>
        </w:rPr>
        <w:t xml:space="preserve"> </w:t>
      </w:r>
      <w:r w:rsidRPr="00AB1E35">
        <w:rPr>
          <w:sz w:val="20"/>
          <w:szCs w:val="20"/>
          <w:lang w:val="nn-NO"/>
        </w:rPr>
        <w:t xml:space="preserve">I opplæringslova § 5-1 står det: </w:t>
      </w:r>
      <w:r w:rsidRPr="00AB1E35">
        <w:rPr>
          <w:i/>
          <w:iCs/>
          <w:sz w:val="20"/>
          <w:szCs w:val="20"/>
          <w:lang w:val="nn-NO"/>
        </w:rPr>
        <w:t>Sett inn sitat fr</w:t>
      </w:r>
      <w:r>
        <w:rPr>
          <w:i/>
          <w:iCs/>
          <w:sz w:val="20"/>
          <w:szCs w:val="20"/>
          <w:lang w:val="nn-NO"/>
        </w:rPr>
        <w:t>å lova</w:t>
      </w:r>
    </w:p>
    <w:p w14:paraId="22AF8F3B" w14:textId="77777777" w:rsidR="009D6445" w:rsidRPr="00AB1E35" w:rsidRDefault="009D6445" w:rsidP="009D6445">
      <w:pPr>
        <w:rPr>
          <w:b/>
          <w:sz w:val="20"/>
          <w:szCs w:val="20"/>
          <w:lang w:val="nn-NO"/>
        </w:rPr>
      </w:pPr>
      <w:r w:rsidRPr="00AB1E35">
        <w:rPr>
          <w:b/>
          <w:sz w:val="20"/>
          <w:szCs w:val="20"/>
          <w:lang w:val="nn-NO"/>
        </w:rPr>
        <w:t>Saksforhold</w:t>
      </w:r>
      <w:r w:rsidRPr="00AB1E35">
        <w:rPr>
          <w:b/>
          <w:sz w:val="20"/>
          <w:szCs w:val="20"/>
          <w:lang w:val="nn-NO"/>
        </w:rPr>
        <w:br/>
      </w:r>
      <w:r w:rsidRPr="00AB1E35">
        <w:rPr>
          <w:i/>
          <w:iCs/>
          <w:sz w:val="20"/>
          <w:szCs w:val="20"/>
          <w:lang w:val="nn-NO"/>
        </w:rPr>
        <w:t>Her må du skrive kva som er fakta i saka, det vil seie at du gjer greie for kva som er grunnlaget og kva som er skjedd til no i saka. Du må også vise til sentrale dokument, til dømes at det er utarbeidd ei sakkunnig vurdering i saker om spesialundervisning, eller at de har kartlagt eleven i saker om særskilt språkopplæring. Innhaldet i og kva dokumenta tyder, skal du kome nærare inn på i sjølve grunngjevinga for vedtaket.</w:t>
      </w:r>
    </w:p>
    <w:p w14:paraId="44168182" w14:textId="2D96B2AC" w:rsidR="009D6445" w:rsidRDefault="009D6445" w:rsidP="009D6445">
      <w:pPr>
        <w:rPr>
          <w:i/>
          <w:sz w:val="20"/>
          <w:szCs w:val="20"/>
          <w:lang w:val="nn-NO"/>
        </w:rPr>
      </w:pPr>
      <w:r w:rsidRPr="00AB1E35">
        <w:rPr>
          <w:b/>
          <w:sz w:val="20"/>
          <w:szCs w:val="20"/>
          <w:lang w:val="nn-NO"/>
        </w:rPr>
        <w:t>Vurdering</w:t>
      </w:r>
      <w:r w:rsidRPr="00AB1E35">
        <w:rPr>
          <w:b/>
          <w:sz w:val="20"/>
          <w:szCs w:val="20"/>
          <w:lang w:val="nn-NO"/>
        </w:rPr>
        <w:br/>
      </w:r>
      <w:r w:rsidRPr="00AB1E35">
        <w:rPr>
          <w:i/>
          <w:sz w:val="20"/>
          <w:szCs w:val="20"/>
          <w:lang w:val="nn-NO"/>
        </w:rPr>
        <w:t>Du må grunngje kvifor du godkjenner eller avslår å gje eleven ein rett. Dersom du har godkjent, må du grunngje kvifor eleven får akkurat det tilbodet.</w:t>
      </w:r>
    </w:p>
    <w:p w14:paraId="09513D70" w14:textId="12B9AF4C" w:rsidR="009E7AE8" w:rsidRDefault="009E7AE8" w:rsidP="009D6445">
      <w:pPr>
        <w:rPr>
          <w:i/>
          <w:sz w:val="20"/>
          <w:szCs w:val="20"/>
          <w:lang w:val="nn-NO"/>
        </w:rPr>
      </w:pPr>
      <w:bookmarkStart w:id="0" w:name="_Hlk72229850"/>
      <w:r w:rsidRPr="009E7AE8">
        <w:rPr>
          <w:i/>
          <w:sz w:val="20"/>
          <w:szCs w:val="20"/>
          <w:lang w:val="nn-NO"/>
        </w:rPr>
        <w:t xml:space="preserve">Du/de må synleggjere korleis eleven har vorte høyrd i saka og korleis barnets beste er vurdert og vektlagt. Grunnlova § 104, barnekonvensjonen artikkel 12, og forvaltningslova § 17 gir barn og unge ein rett til å bli høyrt i saker som omhandlar dei, og synet til barnet skal </w:t>
      </w:r>
      <w:proofErr w:type="spellStart"/>
      <w:r w:rsidRPr="009E7AE8">
        <w:rPr>
          <w:i/>
          <w:sz w:val="20"/>
          <w:szCs w:val="20"/>
          <w:lang w:val="nn-NO"/>
        </w:rPr>
        <w:t>tilleg</w:t>
      </w:r>
      <w:r>
        <w:rPr>
          <w:i/>
          <w:sz w:val="20"/>
          <w:szCs w:val="20"/>
          <w:lang w:val="nn-NO"/>
        </w:rPr>
        <w:t>gja</w:t>
      </w:r>
      <w:r w:rsidRPr="009E7AE8">
        <w:rPr>
          <w:i/>
          <w:sz w:val="20"/>
          <w:szCs w:val="20"/>
          <w:lang w:val="nn-NO"/>
        </w:rPr>
        <w:t>st</w:t>
      </w:r>
      <w:proofErr w:type="spellEnd"/>
      <w:r w:rsidRPr="009E7AE8">
        <w:rPr>
          <w:i/>
          <w:sz w:val="20"/>
          <w:szCs w:val="20"/>
          <w:lang w:val="nn-NO"/>
        </w:rPr>
        <w:t xml:space="preserve"> vekt i samsvar med alderen til barnet og mo</w:t>
      </w:r>
      <w:r>
        <w:rPr>
          <w:i/>
          <w:sz w:val="20"/>
          <w:szCs w:val="20"/>
          <w:lang w:val="nn-NO"/>
        </w:rPr>
        <w:t>gnad</w:t>
      </w:r>
      <w:r w:rsidRPr="009E7AE8">
        <w:rPr>
          <w:i/>
          <w:sz w:val="20"/>
          <w:szCs w:val="20"/>
          <w:lang w:val="nn-NO"/>
        </w:rPr>
        <w:t xml:space="preserve">. Barnets beste skal vere eit grunnleggande omsyn, jf. Grl. § 104 og </w:t>
      </w:r>
      <w:proofErr w:type="spellStart"/>
      <w:r w:rsidRPr="009E7AE8">
        <w:rPr>
          <w:i/>
          <w:sz w:val="20"/>
          <w:szCs w:val="20"/>
          <w:lang w:val="nn-NO"/>
        </w:rPr>
        <w:t>bk</w:t>
      </w:r>
      <w:proofErr w:type="spellEnd"/>
      <w:r w:rsidRPr="009E7AE8">
        <w:rPr>
          <w:i/>
          <w:sz w:val="20"/>
          <w:szCs w:val="20"/>
          <w:lang w:val="nn-NO"/>
        </w:rPr>
        <w:t xml:space="preserve"> art.</w:t>
      </w:r>
    </w:p>
    <w:bookmarkEnd w:id="0"/>
    <w:p w14:paraId="2E731F1C" w14:textId="63AA1E04" w:rsidR="009D6445" w:rsidRPr="00722D5D" w:rsidRDefault="009D6445" w:rsidP="009D6445">
      <w:pPr>
        <w:rPr>
          <w:b/>
          <w:sz w:val="20"/>
          <w:szCs w:val="20"/>
          <w:lang w:val="nn-NO"/>
        </w:rPr>
      </w:pPr>
      <w:r w:rsidRPr="00722D5D">
        <w:rPr>
          <w:b/>
          <w:sz w:val="20"/>
          <w:szCs w:val="20"/>
          <w:lang w:val="nn-NO"/>
        </w:rPr>
        <w:t>Klagerett</w:t>
      </w:r>
      <w:r w:rsidRPr="00722D5D">
        <w:rPr>
          <w:b/>
          <w:sz w:val="20"/>
          <w:szCs w:val="20"/>
          <w:lang w:val="nn-NO"/>
        </w:rPr>
        <w:br/>
      </w:r>
      <w:r w:rsidRPr="00722D5D">
        <w:rPr>
          <w:i/>
          <w:iCs/>
          <w:sz w:val="20"/>
          <w:szCs w:val="20"/>
          <w:lang w:val="nn-NO"/>
        </w:rPr>
        <w:t>Vi føreslår at du forklarer klageretten slik:</w:t>
      </w:r>
      <w:r w:rsidRPr="00722D5D">
        <w:rPr>
          <w:i/>
          <w:iCs/>
          <w:sz w:val="20"/>
          <w:szCs w:val="20"/>
          <w:lang w:val="nn-NO"/>
        </w:rPr>
        <w:br/>
      </w:r>
      <w:r w:rsidRPr="00D935B9">
        <w:rPr>
          <w:sz w:val="20"/>
          <w:szCs w:val="20"/>
          <w:lang w:val="nn-NO"/>
        </w:rPr>
        <w:t>Du kan klage på dette vedtaket. Dersom du vil klage, er fristen tre veker frå du har motteke vedt</w:t>
      </w:r>
      <w:r w:rsidRPr="00722D5D">
        <w:rPr>
          <w:sz w:val="20"/>
          <w:szCs w:val="20"/>
          <w:lang w:val="nn-NO"/>
        </w:rPr>
        <w:t xml:space="preserve">aket. Klagen må nemne kva for endring du ønskjer, og bør vere skriftleg. Dersom klagen ikkje er skriftleg, vil skolen skrive ned klagen. Du bør også grunngje klagen. Du sender klagen til skulen ved rektor. Dersom skulen ikkje er samd i klagen din og </w:t>
      </w:r>
      <w:r w:rsidR="00FC4D53">
        <w:rPr>
          <w:sz w:val="20"/>
          <w:szCs w:val="20"/>
          <w:lang w:val="nn-NO"/>
        </w:rPr>
        <w:t xml:space="preserve">ikkje </w:t>
      </w:r>
      <w:r w:rsidRPr="00722D5D">
        <w:rPr>
          <w:sz w:val="20"/>
          <w:szCs w:val="20"/>
          <w:lang w:val="nn-NO"/>
        </w:rPr>
        <w:t xml:space="preserve">endrar vedtaket, vil vi sende klagen til </w:t>
      </w:r>
      <w:r w:rsidR="00A62DDE">
        <w:rPr>
          <w:sz w:val="20"/>
          <w:szCs w:val="20"/>
          <w:lang w:val="nn-NO"/>
        </w:rPr>
        <w:t>statsforvaltaren</w:t>
      </w:r>
      <w:r w:rsidRPr="00722D5D">
        <w:rPr>
          <w:sz w:val="20"/>
          <w:szCs w:val="20"/>
          <w:lang w:val="nn-NO"/>
        </w:rPr>
        <w:t xml:space="preserve"> i fylket, som er endeleg klageinstans. </w:t>
      </w:r>
    </w:p>
    <w:p w14:paraId="117D4892" w14:textId="77777777" w:rsidR="009D6445" w:rsidRPr="00AB1E35" w:rsidRDefault="009D6445" w:rsidP="009D6445">
      <w:pPr>
        <w:rPr>
          <w:sz w:val="20"/>
          <w:szCs w:val="20"/>
          <w:lang w:val="nn-NO"/>
        </w:rPr>
      </w:pPr>
      <w:r w:rsidRPr="00AB1E35">
        <w:rPr>
          <w:sz w:val="20"/>
          <w:szCs w:val="20"/>
          <w:lang w:val="nn-NO"/>
        </w:rPr>
        <w:t xml:space="preserve">Du har, med nokre unntak, rett til å sjå dokumenta i saka. Dersom du alt har fått alle dokumenta i saka, skal skulen opplyse om det. </w:t>
      </w:r>
    </w:p>
    <w:p w14:paraId="0E55C2E3" w14:textId="77777777" w:rsidR="009D6445" w:rsidRPr="00AB1E35" w:rsidRDefault="009D6445" w:rsidP="009D6445">
      <w:pPr>
        <w:rPr>
          <w:sz w:val="20"/>
          <w:szCs w:val="20"/>
          <w:lang w:val="nn-NO"/>
        </w:rPr>
      </w:pPr>
      <w:r w:rsidRPr="00AB1E35">
        <w:rPr>
          <w:sz w:val="20"/>
          <w:szCs w:val="20"/>
          <w:lang w:val="nn-NO"/>
        </w:rPr>
        <w:t>Du kan la ein advokat eller ein annan fullmektig hjelpe til og representere deg på alle trinn i saka. Ein annan fullmektig kan vere ein kven som helst myndig person eller ein organisasjon som du er medlem av.</w:t>
      </w:r>
      <w:r>
        <w:rPr>
          <w:sz w:val="20"/>
          <w:szCs w:val="20"/>
          <w:lang w:val="nn-NO"/>
        </w:rPr>
        <w:t xml:space="preserve"> </w:t>
      </w:r>
      <w:r w:rsidRPr="00722D5D">
        <w:rPr>
          <w:sz w:val="20"/>
          <w:szCs w:val="20"/>
          <w:lang w:val="nn-NO"/>
        </w:rPr>
        <w:t>Fullmektig som ikk</w:t>
      </w:r>
      <w:r>
        <w:rPr>
          <w:sz w:val="20"/>
          <w:szCs w:val="20"/>
          <w:lang w:val="nn-NO"/>
        </w:rPr>
        <w:t>j</w:t>
      </w:r>
      <w:r w:rsidRPr="00722D5D">
        <w:rPr>
          <w:sz w:val="20"/>
          <w:szCs w:val="20"/>
          <w:lang w:val="nn-NO"/>
        </w:rPr>
        <w:t>e er advokat</w:t>
      </w:r>
      <w:r>
        <w:rPr>
          <w:sz w:val="20"/>
          <w:szCs w:val="20"/>
          <w:lang w:val="nn-NO"/>
        </w:rPr>
        <w:t>,</w:t>
      </w:r>
      <w:r w:rsidRPr="00722D5D">
        <w:rPr>
          <w:sz w:val="20"/>
          <w:szCs w:val="20"/>
          <w:lang w:val="nn-NO"/>
        </w:rPr>
        <w:t xml:space="preserve"> må legg</w:t>
      </w:r>
      <w:r>
        <w:rPr>
          <w:sz w:val="20"/>
          <w:szCs w:val="20"/>
          <w:lang w:val="nn-NO"/>
        </w:rPr>
        <w:t>j</w:t>
      </w:r>
      <w:r w:rsidRPr="00722D5D">
        <w:rPr>
          <w:sz w:val="20"/>
          <w:szCs w:val="20"/>
          <w:lang w:val="nn-NO"/>
        </w:rPr>
        <w:t>e</w:t>
      </w:r>
      <w:r>
        <w:rPr>
          <w:sz w:val="20"/>
          <w:szCs w:val="20"/>
          <w:lang w:val="nn-NO"/>
        </w:rPr>
        <w:t xml:space="preserve"> fram</w:t>
      </w:r>
      <w:r w:rsidRPr="00722D5D">
        <w:rPr>
          <w:sz w:val="20"/>
          <w:szCs w:val="20"/>
          <w:lang w:val="nn-NO"/>
        </w:rPr>
        <w:t xml:space="preserve"> skriftl</w:t>
      </w:r>
      <w:r>
        <w:rPr>
          <w:sz w:val="20"/>
          <w:szCs w:val="20"/>
          <w:lang w:val="nn-NO"/>
        </w:rPr>
        <w:t>e</w:t>
      </w:r>
      <w:r w:rsidRPr="00722D5D">
        <w:rPr>
          <w:sz w:val="20"/>
          <w:szCs w:val="20"/>
          <w:lang w:val="nn-NO"/>
        </w:rPr>
        <w:t>g fullmakt.</w:t>
      </w:r>
    </w:p>
    <w:p w14:paraId="0B223AA3" w14:textId="77777777" w:rsidR="009D6445" w:rsidRPr="00AB1E35" w:rsidRDefault="009D6445" w:rsidP="009D6445">
      <w:pPr>
        <w:rPr>
          <w:sz w:val="20"/>
          <w:szCs w:val="20"/>
          <w:lang w:val="nn-NO"/>
        </w:rPr>
      </w:pPr>
      <w:r w:rsidRPr="00AB1E35">
        <w:rPr>
          <w:sz w:val="20"/>
          <w:szCs w:val="20"/>
          <w:lang w:val="nn-NO"/>
        </w:rPr>
        <w:t>Fristen for å klage på eit enkeltvedtak er fastsett i forvaltningslova § 29. Regelverket for å sjå dokument i saka finn du i forvaltningslova §§ 18 og 19. Forvaltningslova § 12 seier at du kan bruke ein fullmektig.</w:t>
      </w:r>
    </w:p>
    <w:p w14:paraId="3B302D39" w14:textId="77777777" w:rsidR="009D6445" w:rsidRPr="00AB1E35" w:rsidRDefault="009D6445" w:rsidP="009D6445">
      <w:pPr>
        <w:rPr>
          <w:sz w:val="20"/>
          <w:szCs w:val="20"/>
          <w:lang w:val="nn-NO"/>
        </w:rPr>
      </w:pPr>
      <w:r w:rsidRPr="00AB1E35">
        <w:rPr>
          <w:sz w:val="20"/>
          <w:szCs w:val="20"/>
          <w:lang w:val="nn-NO"/>
        </w:rPr>
        <w:t>Med helsing</w:t>
      </w:r>
      <w:r w:rsidRPr="00AB1E35">
        <w:rPr>
          <w:sz w:val="20"/>
          <w:szCs w:val="20"/>
          <w:lang w:val="nn-NO"/>
        </w:rPr>
        <w:br/>
        <w:t>Rektor NN</w:t>
      </w:r>
      <w:r w:rsidRPr="00AB1E35">
        <w:rPr>
          <w:sz w:val="20"/>
          <w:szCs w:val="20"/>
          <w:lang w:val="nn-NO"/>
        </w:rPr>
        <w:br/>
      </w:r>
      <w:r w:rsidRPr="00AB1E35">
        <w:rPr>
          <w:sz w:val="20"/>
          <w:szCs w:val="20"/>
          <w:lang w:val="nn-NO"/>
        </w:rPr>
        <w:lastRenderedPageBreak/>
        <w:br/>
        <w:t>Kopi:</w:t>
      </w:r>
    </w:p>
    <w:p w14:paraId="4243AB6A" w14:textId="77777777" w:rsidR="00372AC3" w:rsidRDefault="008717C0"/>
    <w:sectPr w:rsidR="00372AC3" w:rsidSect="003E1FDC">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8FA6" w14:textId="77777777" w:rsidR="008717C0" w:rsidRDefault="008717C0" w:rsidP="009D6445">
      <w:pPr>
        <w:spacing w:after="0" w:line="240" w:lineRule="auto"/>
      </w:pPr>
      <w:r>
        <w:separator/>
      </w:r>
    </w:p>
  </w:endnote>
  <w:endnote w:type="continuationSeparator" w:id="0">
    <w:p w14:paraId="7CADB598" w14:textId="77777777" w:rsidR="008717C0" w:rsidRDefault="008717C0" w:rsidP="009D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0AFB" w14:textId="77777777" w:rsidR="008717C0" w:rsidRDefault="008717C0" w:rsidP="009D6445">
      <w:pPr>
        <w:spacing w:after="0" w:line="240" w:lineRule="auto"/>
      </w:pPr>
      <w:r>
        <w:separator/>
      </w:r>
    </w:p>
  </w:footnote>
  <w:footnote w:type="continuationSeparator" w:id="0">
    <w:p w14:paraId="30C8B406" w14:textId="77777777" w:rsidR="008717C0" w:rsidRDefault="008717C0" w:rsidP="009D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15A9" w14:textId="77777777" w:rsidR="001E6D23" w:rsidRPr="00EA1158" w:rsidRDefault="00586445" w:rsidP="00EA1158">
    <w:pPr>
      <w:pStyle w:val="Topptekst"/>
      <w:jc w:val="right"/>
      <w:rPr>
        <w:i/>
        <w:iCs/>
        <w:sz w:val="18"/>
        <w:szCs w:val="18"/>
        <w:lang w:val="nn-NO"/>
      </w:rPr>
    </w:pPr>
    <w:r>
      <w:rPr>
        <w:i/>
        <w:iCs/>
        <w:sz w:val="18"/>
        <w:szCs w:val="18"/>
        <w:lang w:val="nn-NO"/>
      </w:rPr>
      <w:t>Nynorsk</w:t>
    </w:r>
    <w:r>
      <w:rPr>
        <w:i/>
        <w:iCs/>
        <w:sz w:val="18"/>
        <w:szCs w:val="18"/>
        <w:lang w:val="nn-NO"/>
      </w:rPr>
      <w:tab/>
    </w:r>
    <w:r>
      <w:rPr>
        <w:i/>
        <w:iCs/>
        <w:sz w:val="18"/>
        <w:szCs w:val="18"/>
        <w:lang w:val="nn-NO"/>
      </w:rPr>
      <w:tab/>
    </w:r>
    <w:r w:rsidRPr="00EA1158">
      <w:rPr>
        <w:i/>
        <w:iCs/>
        <w:sz w:val="18"/>
        <w:szCs w:val="18"/>
        <w:lang w:val="nn-NO"/>
      </w:rPr>
      <w:t xml:space="preserve">Unnateke offentleg innsyn: </w:t>
    </w:r>
    <w:proofErr w:type="spellStart"/>
    <w:r w:rsidRPr="00EA1158">
      <w:rPr>
        <w:i/>
        <w:iCs/>
        <w:sz w:val="18"/>
        <w:szCs w:val="18"/>
        <w:lang w:val="nn-NO"/>
      </w:rPr>
      <w:t>Offl</w:t>
    </w:r>
    <w:proofErr w:type="spellEnd"/>
    <w:r w:rsidRPr="00EA1158">
      <w:rPr>
        <w:i/>
        <w:iCs/>
        <w:sz w:val="18"/>
        <w:szCs w:val="18"/>
        <w:lang w:val="nn-NO"/>
      </w:rPr>
      <w:t xml:space="preserve"> § 13, jf. </w:t>
    </w:r>
    <w:proofErr w:type="spellStart"/>
    <w:r w:rsidRPr="00EA1158">
      <w:rPr>
        <w:i/>
        <w:iCs/>
        <w:sz w:val="18"/>
        <w:szCs w:val="18"/>
        <w:lang w:val="nn-NO"/>
      </w:rPr>
      <w:t>fvl</w:t>
    </w:r>
    <w:proofErr w:type="spellEnd"/>
    <w:r w:rsidRPr="00EA1158">
      <w:rPr>
        <w:i/>
        <w:iCs/>
        <w:sz w:val="18"/>
        <w:szCs w:val="18"/>
        <w:lang w:val="nn-NO"/>
      </w:rPr>
      <w:t xml:space="preserve"> § 13.1.1</w:t>
    </w:r>
  </w:p>
  <w:p w14:paraId="4639CCBC" w14:textId="77777777" w:rsidR="001E6D23" w:rsidRPr="00EA1158" w:rsidRDefault="008717C0">
    <w:pPr>
      <w:pStyle w:val="Topptekst"/>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802C" w14:textId="77777777" w:rsidR="009D6445" w:rsidRPr="00EA1158" w:rsidRDefault="00586445" w:rsidP="009D6445">
    <w:pPr>
      <w:pStyle w:val="Topptekst"/>
      <w:jc w:val="right"/>
      <w:rPr>
        <w:i/>
        <w:iCs/>
        <w:sz w:val="18"/>
        <w:szCs w:val="18"/>
        <w:lang w:val="nn-NO"/>
      </w:rPr>
    </w:pPr>
    <w:r>
      <w:rPr>
        <w:i/>
        <w:iCs/>
        <w:sz w:val="18"/>
        <w:szCs w:val="18"/>
      </w:rPr>
      <w:t>Bokmål</w:t>
    </w:r>
    <w:r>
      <w:rPr>
        <w:i/>
        <w:iCs/>
        <w:sz w:val="18"/>
        <w:szCs w:val="18"/>
      </w:rPr>
      <w:tab/>
    </w:r>
    <w:r>
      <w:rPr>
        <w:i/>
        <w:iCs/>
        <w:sz w:val="18"/>
        <w:szCs w:val="18"/>
      </w:rPr>
      <w:tab/>
    </w:r>
    <w:r w:rsidR="009D6445" w:rsidRPr="00EA1158">
      <w:rPr>
        <w:i/>
        <w:iCs/>
        <w:sz w:val="18"/>
        <w:szCs w:val="18"/>
        <w:lang w:val="nn-NO"/>
      </w:rPr>
      <w:t xml:space="preserve">Unnateke offentleg innsyn: </w:t>
    </w:r>
    <w:proofErr w:type="spellStart"/>
    <w:r w:rsidR="009D6445" w:rsidRPr="00EA1158">
      <w:rPr>
        <w:i/>
        <w:iCs/>
        <w:sz w:val="18"/>
        <w:szCs w:val="18"/>
        <w:lang w:val="nn-NO"/>
      </w:rPr>
      <w:t>Offl</w:t>
    </w:r>
    <w:proofErr w:type="spellEnd"/>
    <w:r w:rsidR="009D6445" w:rsidRPr="00EA1158">
      <w:rPr>
        <w:i/>
        <w:iCs/>
        <w:sz w:val="18"/>
        <w:szCs w:val="18"/>
        <w:lang w:val="nn-NO"/>
      </w:rPr>
      <w:t xml:space="preserve"> § 13, jf. </w:t>
    </w:r>
    <w:proofErr w:type="spellStart"/>
    <w:r w:rsidR="009D6445" w:rsidRPr="00EA1158">
      <w:rPr>
        <w:i/>
        <w:iCs/>
        <w:sz w:val="18"/>
        <w:szCs w:val="18"/>
        <w:lang w:val="nn-NO"/>
      </w:rPr>
      <w:t>fvl</w:t>
    </w:r>
    <w:proofErr w:type="spellEnd"/>
    <w:r w:rsidR="009D6445" w:rsidRPr="00EA1158">
      <w:rPr>
        <w:i/>
        <w:iCs/>
        <w:sz w:val="18"/>
        <w:szCs w:val="18"/>
        <w:lang w:val="nn-NO"/>
      </w:rPr>
      <w:t xml:space="preserve"> § 13.1.1</w:t>
    </w:r>
  </w:p>
  <w:p w14:paraId="67EADEB7" w14:textId="77777777" w:rsidR="001E6D23" w:rsidRDefault="008717C0" w:rsidP="009D6445">
    <w:pPr>
      <w:pStyle w:val="Top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45"/>
    <w:rsid w:val="000D673A"/>
    <w:rsid w:val="001126C5"/>
    <w:rsid w:val="00586445"/>
    <w:rsid w:val="005C26AA"/>
    <w:rsid w:val="008717C0"/>
    <w:rsid w:val="008A5241"/>
    <w:rsid w:val="00957D67"/>
    <w:rsid w:val="009A0DEE"/>
    <w:rsid w:val="009D6445"/>
    <w:rsid w:val="009E7AE8"/>
    <w:rsid w:val="00A62DDE"/>
    <w:rsid w:val="00B7083A"/>
    <w:rsid w:val="00B96578"/>
    <w:rsid w:val="00D857BB"/>
    <w:rsid w:val="00FC4D5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919D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45"/>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D64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D6445"/>
    <w:rPr>
      <w:sz w:val="22"/>
      <w:szCs w:val="22"/>
    </w:rPr>
  </w:style>
  <w:style w:type="paragraph" w:styleId="Bunntekst">
    <w:name w:val="footer"/>
    <w:basedOn w:val="Normal"/>
    <w:link w:val="BunntekstTegn"/>
    <w:uiPriority w:val="99"/>
    <w:unhideWhenUsed/>
    <w:rsid w:val="009D64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64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2572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Moquan Chen</dc:creator>
  <cp:keywords/>
  <dc:description/>
  <cp:lastModifiedBy>Tone Tufte</cp:lastModifiedBy>
  <cp:revision>3</cp:revision>
  <dcterms:created xsi:type="dcterms:W3CDTF">2021-10-27T12:50:00Z</dcterms:created>
  <dcterms:modified xsi:type="dcterms:W3CDTF">2021-10-27T12:50:00Z</dcterms:modified>
</cp:coreProperties>
</file>