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010C2" w14:textId="4EC0A82A" w:rsidR="00631FAC" w:rsidRDefault="00631FAC" w:rsidP="00631FAC">
      <w:pPr>
        <w:pStyle w:val="overskrift"/>
        <w:rPr>
          <w:rFonts w:ascii="Verdana" w:hAnsi="Verdana"/>
          <w:caps w:val="0"/>
        </w:rPr>
      </w:pPr>
      <w:r>
        <w:rPr>
          <w:rFonts w:ascii="Verdana" w:hAnsi="Verdana"/>
          <w:caps w:val="0"/>
        </w:rPr>
        <w:t>Enkeltvedtak om</w:t>
      </w:r>
      <w:r w:rsidR="00E6054D">
        <w:rPr>
          <w:rFonts w:ascii="Verdana" w:hAnsi="Verdana"/>
          <w:caps w:val="0"/>
        </w:rPr>
        <w:t xml:space="preserve"> fritak fra nasjonale prøver – &lt;elevens navn&gt;</w:t>
      </w:r>
    </w:p>
    <w:p w14:paraId="55AFC41B" w14:textId="77777777" w:rsidR="00631FAC" w:rsidRDefault="00631FAC" w:rsidP="00631FAC">
      <w:pPr>
        <w:rPr>
          <w:rFonts w:ascii="Verdana" w:hAnsi="Verdana"/>
        </w:rPr>
      </w:pPr>
    </w:p>
    <w:p w14:paraId="3CE13A1A" w14:textId="282CFF54" w:rsidR="00233A72" w:rsidRDefault="003912DB" w:rsidP="00631FAC">
      <w:pPr>
        <w:rPr>
          <w:rFonts w:ascii="Verdana" w:hAnsi="Verdana"/>
        </w:rPr>
      </w:pPr>
      <w:r>
        <w:rPr>
          <w:rFonts w:ascii="Verdana" w:hAnsi="Verdana"/>
        </w:rPr>
        <w:t xml:space="preserve">&lt;Skolens navn&gt; viser til </w:t>
      </w:r>
      <w:r w:rsidR="002C2D81">
        <w:rPr>
          <w:rFonts w:ascii="Verdana" w:hAnsi="Verdana"/>
        </w:rPr>
        <w:t>møtet</w:t>
      </w:r>
      <w:r>
        <w:rPr>
          <w:rFonts w:ascii="Verdana" w:hAnsi="Verdana"/>
        </w:rPr>
        <w:t>/</w:t>
      </w:r>
      <w:r w:rsidR="00325572">
        <w:rPr>
          <w:rFonts w:ascii="Verdana" w:hAnsi="Verdana"/>
        </w:rPr>
        <w:t>forhåndsvarselet</w:t>
      </w:r>
      <w:r w:rsidR="002C2D81">
        <w:rPr>
          <w:rFonts w:ascii="Verdana" w:hAnsi="Verdana"/>
        </w:rPr>
        <w:t>/</w:t>
      </w:r>
      <w:r>
        <w:rPr>
          <w:rFonts w:ascii="Verdana" w:hAnsi="Verdana"/>
        </w:rPr>
        <w:t xml:space="preserve"> som ble sendt &lt;dato&gt;, hvor det kom frem at skolen ønsket å frita &lt;elevens navn&gt; fra </w:t>
      </w:r>
      <w:r w:rsidR="00FC0E71">
        <w:rPr>
          <w:rFonts w:ascii="Verdana" w:hAnsi="Verdana"/>
        </w:rPr>
        <w:t>nasjonale prøver</w:t>
      </w:r>
      <w:r w:rsidR="002C2D81">
        <w:rPr>
          <w:rFonts w:ascii="Verdana" w:hAnsi="Verdana"/>
        </w:rPr>
        <w:t>.</w:t>
      </w:r>
      <w:r w:rsidR="00325572">
        <w:rPr>
          <w:rFonts w:ascii="Verdana" w:hAnsi="Verdana"/>
        </w:rPr>
        <w:t xml:space="preserve"> </w:t>
      </w:r>
      <w:r w:rsidR="002C2D81">
        <w:rPr>
          <w:rFonts w:ascii="Verdana" w:hAnsi="Verdana"/>
        </w:rPr>
        <w:t xml:space="preserve"> </w:t>
      </w:r>
    </w:p>
    <w:p w14:paraId="277EC646" w14:textId="77777777" w:rsidR="00233A72" w:rsidRPr="002733B0" w:rsidRDefault="00233A72" w:rsidP="00631FAC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</w:t>
      </w:r>
    </w:p>
    <w:p w14:paraId="45892234" w14:textId="77777777" w:rsidR="00631FAC" w:rsidRPr="0041247C" w:rsidRDefault="00631FAC" w:rsidP="00631FAC">
      <w:pPr>
        <w:rPr>
          <w:rFonts w:ascii="Verdana" w:hAnsi="Verdana"/>
          <w:b/>
        </w:rPr>
      </w:pPr>
      <w:bookmarkStart w:id="0" w:name="Start"/>
      <w:bookmarkEnd w:id="0"/>
      <w:r w:rsidRPr="0041247C">
        <w:rPr>
          <w:rFonts w:ascii="Verdana" w:hAnsi="Verdana"/>
          <w:b/>
        </w:rPr>
        <w:t>Vedtak</w:t>
      </w:r>
    </w:p>
    <w:p w14:paraId="38F1F643" w14:textId="0F9E0FB5" w:rsidR="00631FAC" w:rsidRDefault="00DB762E" w:rsidP="00631FAC">
      <w:pPr>
        <w:rPr>
          <w:rFonts w:ascii="Verdana" w:hAnsi="Verdana"/>
        </w:rPr>
      </w:pPr>
      <w:r>
        <w:rPr>
          <w:rFonts w:ascii="Verdana" w:hAnsi="Verdana"/>
        </w:rPr>
        <w:t>&lt;Elevens navn&gt;</w:t>
      </w:r>
      <w:r w:rsidR="00631FAC">
        <w:rPr>
          <w:rFonts w:ascii="Verdana" w:hAnsi="Verdana"/>
        </w:rPr>
        <w:t xml:space="preserve">, fødselsnummer: </w:t>
      </w:r>
      <w:r w:rsidR="000209B4">
        <w:rPr>
          <w:rFonts w:ascii="Verdana" w:hAnsi="Verdana"/>
        </w:rPr>
        <w:t>…..</w:t>
      </w:r>
      <w:r w:rsidR="00631FAC" w:rsidRPr="0041247C">
        <w:rPr>
          <w:rFonts w:ascii="Verdana" w:hAnsi="Verdana" w:cs="Arial"/>
        </w:rPr>
        <w:t>.</w:t>
      </w:r>
      <w:r w:rsidR="000126ED">
        <w:rPr>
          <w:rFonts w:ascii="Verdana" w:hAnsi="Verdana" w:cs="Arial"/>
        </w:rPr>
        <w:t xml:space="preserve"> fritas </w:t>
      </w:r>
      <w:r w:rsidR="000209B4">
        <w:rPr>
          <w:rFonts w:ascii="Verdana" w:hAnsi="Verdana" w:cs="Arial"/>
        </w:rPr>
        <w:t xml:space="preserve">fra </w:t>
      </w:r>
      <w:r>
        <w:rPr>
          <w:rFonts w:ascii="Verdana" w:hAnsi="Verdana" w:cs="Arial"/>
        </w:rPr>
        <w:t>å delta i &lt;hvilken prøve/prøver&gt;</w:t>
      </w:r>
      <w:r w:rsidR="00F61030">
        <w:rPr>
          <w:rFonts w:ascii="Verdana" w:hAnsi="Verdana" w:cs="Arial"/>
        </w:rPr>
        <w:t>.</w:t>
      </w:r>
    </w:p>
    <w:p w14:paraId="35814C38" w14:textId="77777777" w:rsidR="00631FAC" w:rsidRDefault="00631FAC" w:rsidP="00631FAC">
      <w:pPr>
        <w:rPr>
          <w:rFonts w:ascii="Verdana" w:hAnsi="Verdana"/>
        </w:rPr>
      </w:pPr>
    </w:p>
    <w:p w14:paraId="3C55DF0E" w14:textId="77777777" w:rsidR="00631FAC" w:rsidRDefault="00631FAC" w:rsidP="00631FAC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Rettslig grunnlag</w:t>
      </w:r>
      <w:r w:rsidR="000A72C4">
        <w:rPr>
          <w:b/>
          <w:sz w:val="20"/>
          <w:szCs w:val="20"/>
        </w:rPr>
        <w:t xml:space="preserve"> for skolens vedtak</w:t>
      </w:r>
    </w:p>
    <w:p w14:paraId="455AE657" w14:textId="0F1F9762" w:rsidR="00631FAC" w:rsidRDefault="00BF415F" w:rsidP="00631FAC">
      <w:pPr>
        <w:rPr>
          <w:rFonts w:ascii="Verdana" w:hAnsi="Verdana"/>
        </w:rPr>
      </w:pPr>
      <w:r>
        <w:rPr>
          <w:rFonts w:ascii="Verdana" w:hAnsi="Verdana"/>
        </w:rPr>
        <w:t xml:space="preserve">Elever skal delta i </w:t>
      </w:r>
      <w:r w:rsidR="007263BC">
        <w:rPr>
          <w:rFonts w:ascii="Verdana" w:hAnsi="Verdana"/>
        </w:rPr>
        <w:t xml:space="preserve">nasjonale </w:t>
      </w:r>
      <w:r>
        <w:rPr>
          <w:rFonts w:ascii="Verdana" w:hAnsi="Verdana"/>
        </w:rPr>
        <w:t>prøver etter fo</w:t>
      </w:r>
      <w:r w:rsidR="006C1251" w:rsidRPr="00A30F84">
        <w:rPr>
          <w:rFonts w:ascii="Verdana" w:hAnsi="Verdana"/>
        </w:rPr>
        <w:t>rskrift til opplæringsloven § 2-</w:t>
      </w:r>
      <w:r w:rsidR="00A157CA">
        <w:rPr>
          <w:rFonts w:ascii="Verdana" w:hAnsi="Verdana"/>
        </w:rPr>
        <w:t>5.</w:t>
      </w:r>
      <w:r w:rsidR="007263BC">
        <w:rPr>
          <w:rFonts w:ascii="Verdana" w:hAnsi="Verdana"/>
        </w:rPr>
        <w:t xml:space="preserve"> </w:t>
      </w:r>
      <w:r w:rsidR="00A157CA">
        <w:rPr>
          <w:rFonts w:ascii="Verdana" w:hAnsi="Verdana"/>
        </w:rPr>
        <w:t xml:space="preserve">Skoleeier skal sørge for </w:t>
      </w:r>
      <w:r w:rsidR="00F148DD">
        <w:rPr>
          <w:rFonts w:ascii="Verdana" w:hAnsi="Verdana"/>
        </w:rPr>
        <w:t>at</w:t>
      </w:r>
      <w:r w:rsidR="007263BC">
        <w:rPr>
          <w:rFonts w:ascii="Verdana" w:hAnsi="Verdana"/>
        </w:rPr>
        <w:t xml:space="preserve"> d</w:t>
      </w:r>
      <w:r w:rsidR="00C75751">
        <w:rPr>
          <w:rFonts w:ascii="Verdana" w:hAnsi="Verdana"/>
        </w:rPr>
        <w:t>isse</w:t>
      </w:r>
      <w:r w:rsidR="007263BC">
        <w:rPr>
          <w:rFonts w:ascii="Verdana" w:hAnsi="Verdana"/>
        </w:rPr>
        <w:t xml:space="preserve"> </w:t>
      </w:r>
      <w:r w:rsidR="00F148DD">
        <w:rPr>
          <w:rFonts w:ascii="Verdana" w:hAnsi="Verdana"/>
        </w:rPr>
        <w:t>blir gjennomfø</w:t>
      </w:r>
      <w:r>
        <w:rPr>
          <w:rFonts w:ascii="Verdana" w:hAnsi="Verdana"/>
        </w:rPr>
        <w:t>rt.</w:t>
      </w:r>
    </w:p>
    <w:p w14:paraId="616B070D" w14:textId="77777777" w:rsidR="006C1251" w:rsidRPr="00A30F84" w:rsidRDefault="006C1251" w:rsidP="006C1251">
      <w:pPr>
        <w:rPr>
          <w:rFonts w:ascii="Verdana" w:hAnsi="Verdana"/>
        </w:rPr>
      </w:pPr>
    </w:p>
    <w:p w14:paraId="61FA736F" w14:textId="12E79CFB" w:rsidR="006C1251" w:rsidRPr="00A30F84" w:rsidRDefault="00B5421E" w:rsidP="006C1251">
      <w:pPr>
        <w:rPr>
          <w:rFonts w:ascii="Verdana" w:hAnsi="Verdana"/>
        </w:rPr>
      </w:pPr>
      <w:r>
        <w:rPr>
          <w:rFonts w:ascii="Verdana" w:hAnsi="Verdana"/>
        </w:rPr>
        <w:t>I forskrift til opplæringsloven § 2-8 første ledd står det:</w:t>
      </w:r>
    </w:p>
    <w:p w14:paraId="602B50E0" w14:textId="77777777" w:rsidR="006C1251" w:rsidRPr="00A30F84" w:rsidRDefault="006C1251" w:rsidP="006C1251">
      <w:pPr>
        <w:rPr>
          <w:rFonts w:ascii="Verdana" w:hAnsi="Verdana"/>
        </w:rPr>
      </w:pPr>
    </w:p>
    <w:p w14:paraId="78CA7C43" w14:textId="37832B1E" w:rsidR="006C1251" w:rsidRPr="00745913" w:rsidRDefault="006C1251" w:rsidP="006C1251">
      <w:pPr>
        <w:rPr>
          <w:rFonts w:ascii="Verdana" w:hAnsi="Verdana"/>
          <w:b/>
          <w:bCs/>
          <w:lang w:val="nn-NO"/>
        </w:rPr>
      </w:pPr>
      <w:r w:rsidRPr="00A30F84">
        <w:rPr>
          <w:rFonts w:ascii="Verdana" w:hAnsi="Verdana"/>
        </w:rPr>
        <w:t xml:space="preserve">«For </w:t>
      </w:r>
      <w:proofErr w:type="spellStart"/>
      <w:r w:rsidRPr="00A30F84">
        <w:rPr>
          <w:rFonts w:ascii="Verdana" w:hAnsi="Verdana"/>
        </w:rPr>
        <w:t>elevar</w:t>
      </w:r>
      <w:proofErr w:type="spellEnd"/>
      <w:r w:rsidRPr="00A30F84">
        <w:rPr>
          <w:rFonts w:ascii="Verdana" w:hAnsi="Verdana"/>
        </w:rPr>
        <w:t xml:space="preserve"> som får spesialundervisning etter kapittel 5 i </w:t>
      </w:r>
      <w:proofErr w:type="spellStart"/>
      <w:r w:rsidRPr="00A30F84">
        <w:rPr>
          <w:rFonts w:ascii="Verdana" w:hAnsi="Verdana"/>
        </w:rPr>
        <w:t>opplæringslova</w:t>
      </w:r>
      <w:proofErr w:type="spellEnd"/>
      <w:r w:rsidRPr="00A30F84">
        <w:rPr>
          <w:rFonts w:ascii="Verdana" w:hAnsi="Verdana"/>
        </w:rPr>
        <w:t xml:space="preserve">, og </w:t>
      </w:r>
      <w:r w:rsidR="00B5421E">
        <w:rPr>
          <w:rFonts w:ascii="Verdana" w:hAnsi="Verdana"/>
        </w:rPr>
        <w:t xml:space="preserve">der prøvene klart </w:t>
      </w:r>
      <w:r w:rsidRPr="00A30F84">
        <w:rPr>
          <w:rFonts w:ascii="Verdana" w:hAnsi="Verdana"/>
        </w:rPr>
        <w:t xml:space="preserve">ikkje vil ha </w:t>
      </w:r>
      <w:proofErr w:type="spellStart"/>
      <w:r w:rsidRPr="00A30F84">
        <w:rPr>
          <w:rFonts w:ascii="Verdana" w:hAnsi="Verdana"/>
        </w:rPr>
        <w:t>mykje</w:t>
      </w:r>
      <w:proofErr w:type="spellEnd"/>
      <w:r w:rsidRPr="00A30F84">
        <w:rPr>
          <w:rFonts w:ascii="Verdana" w:hAnsi="Verdana"/>
        </w:rPr>
        <w:t xml:space="preserve"> å </w:t>
      </w:r>
      <w:proofErr w:type="spellStart"/>
      <w:r w:rsidRPr="00A30F84">
        <w:rPr>
          <w:rFonts w:ascii="Verdana" w:hAnsi="Verdana"/>
        </w:rPr>
        <w:t>seie</w:t>
      </w:r>
      <w:proofErr w:type="spellEnd"/>
      <w:r w:rsidRPr="00A30F84">
        <w:rPr>
          <w:rFonts w:ascii="Verdana" w:hAnsi="Verdana"/>
        </w:rPr>
        <w:t xml:space="preserve"> for opplæringa til eleven, kan skolen </w:t>
      </w:r>
      <w:proofErr w:type="spellStart"/>
      <w:r w:rsidRPr="00A30F84">
        <w:rPr>
          <w:rFonts w:ascii="Verdana" w:hAnsi="Verdana"/>
        </w:rPr>
        <w:t>gjere</w:t>
      </w:r>
      <w:proofErr w:type="spellEnd"/>
      <w:r w:rsidRPr="00A30F84">
        <w:rPr>
          <w:rFonts w:ascii="Verdana" w:hAnsi="Verdana"/>
        </w:rPr>
        <w:t xml:space="preserve"> vedtak om å frita eleven </w:t>
      </w:r>
      <w:proofErr w:type="spellStart"/>
      <w:r w:rsidRPr="00A30F84">
        <w:rPr>
          <w:rFonts w:ascii="Verdana" w:hAnsi="Verdana"/>
        </w:rPr>
        <w:t>frå</w:t>
      </w:r>
      <w:proofErr w:type="spellEnd"/>
      <w:r w:rsidRPr="00A30F84">
        <w:rPr>
          <w:rFonts w:ascii="Verdana" w:hAnsi="Verdana"/>
        </w:rPr>
        <w:t xml:space="preserve"> å delta i prøve</w:t>
      </w:r>
      <w:r w:rsidR="00B5421E">
        <w:rPr>
          <w:rFonts w:ascii="Verdana" w:hAnsi="Verdana"/>
        </w:rPr>
        <w:t xml:space="preserve">r og </w:t>
      </w:r>
      <w:proofErr w:type="spellStart"/>
      <w:r w:rsidR="00B5421E">
        <w:rPr>
          <w:rFonts w:ascii="Verdana" w:hAnsi="Verdana"/>
        </w:rPr>
        <w:t>undersøkingar</w:t>
      </w:r>
      <w:proofErr w:type="spellEnd"/>
      <w:r w:rsidR="00B5421E">
        <w:rPr>
          <w:rFonts w:ascii="Verdana" w:hAnsi="Verdana"/>
        </w:rPr>
        <w:t xml:space="preserve"> etter § 2-5, § 2-6 første ledd og § 2-7. </w:t>
      </w:r>
      <w:r w:rsidRPr="006C1251">
        <w:rPr>
          <w:rFonts w:ascii="Verdana" w:hAnsi="Verdana"/>
          <w:lang w:val="nn-NO"/>
        </w:rPr>
        <w:t>Det same gjeld elevar som har enkeltvedtak om særskild språkopplæring etter opplæringslova § 2-8 eller § 3-12</w:t>
      </w:r>
      <w:r w:rsidR="00A13870">
        <w:rPr>
          <w:rFonts w:ascii="Verdana" w:hAnsi="Verdana"/>
          <w:lang w:val="nn-NO"/>
        </w:rPr>
        <w:t xml:space="preserve">, </w:t>
      </w:r>
      <w:r w:rsidR="00A13870" w:rsidRPr="00A13870">
        <w:rPr>
          <w:rFonts w:ascii="Verdana" w:hAnsi="Verdana"/>
          <w:lang w:val="nn-NO"/>
        </w:rPr>
        <w:t xml:space="preserve">og elevar ved internasjonale eller utanlandske skolar som mottar opplæring etter læreplanen i grunnleggjande norsk for språklege minoritetar eller annan jamgod plan. </w:t>
      </w:r>
      <w:r w:rsidRPr="00AF45B0">
        <w:rPr>
          <w:rFonts w:ascii="Verdana" w:hAnsi="Verdana"/>
          <w:lang w:val="nn-NO"/>
        </w:rPr>
        <w:t>Eleven sjølv eller foreldra kan likevel bestemme at eleven skal ta prøvene.»</w:t>
      </w:r>
    </w:p>
    <w:p w14:paraId="0B0DFCD8" w14:textId="77777777" w:rsidR="006C1251" w:rsidRPr="00AF45B0" w:rsidRDefault="006C1251" w:rsidP="006C1251">
      <w:pPr>
        <w:rPr>
          <w:rFonts w:ascii="Verdana" w:hAnsi="Verdana"/>
          <w:lang w:val="nn-NO"/>
        </w:rPr>
      </w:pPr>
    </w:p>
    <w:p w14:paraId="32A9B087" w14:textId="77777777" w:rsidR="00631FAC" w:rsidRPr="00745913" w:rsidRDefault="006C1251" w:rsidP="00631FAC">
      <w:pPr>
        <w:rPr>
          <w:rFonts w:ascii="Verdana" w:hAnsi="Verdana"/>
          <w:b/>
        </w:rPr>
      </w:pPr>
      <w:r w:rsidRPr="00745913">
        <w:rPr>
          <w:rFonts w:ascii="Verdana" w:hAnsi="Verdana"/>
          <w:b/>
        </w:rPr>
        <w:t>Bakgrunn for saken</w:t>
      </w:r>
    </w:p>
    <w:p w14:paraId="32E5FE84" w14:textId="173538B1" w:rsidR="00631FAC" w:rsidRPr="00E6054D" w:rsidRDefault="00AF45B0" w:rsidP="00631FAC">
      <w:pPr>
        <w:rPr>
          <w:rFonts w:ascii="Verdana" w:hAnsi="Verdana"/>
          <w:i/>
        </w:rPr>
      </w:pPr>
      <w:r w:rsidRPr="00745913">
        <w:rPr>
          <w:rFonts w:ascii="Verdana" w:hAnsi="Verdana"/>
          <w:i/>
        </w:rPr>
        <w:t>Her skriver du inn hva</w:t>
      </w:r>
      <w:r w:rsidR="00C33DA8" w:rsidRPr="00745913">
        <w:rPr>
          <w:rFonts w:ascii="Verdana" w:hAnsi="Verdana"/>
          <w:i/>
        </w:rPr>
        <w:t xml:space="preserve"> som er fakta i saken. </w:t>
      </w:r>
      <w:r w:rsidR="00C33DA8" w:rsidRPr="00E6054D">
        <w:rPr>
          <w:rFonts w:ascii="Verdana" w:hAnsi="Verdana"/>
          <w:i/>
        </w:rPr>
        <w:t>Bakgrunn</w:t>
      </w:r>
      <w:r w:rsidR="0092346C" w:rsidRPr="00E6054D">
        <w:rPr>
          <w:rFonts w:ascii="Verdana" w:hAnsi="Verdana"/>
          <w:i/>
        </w:rPr>
        <w:t>en</w:t>
      </w:r>
      <w:r w:rsidR="00227501" w:rsidRPr="00E6054D">
        <w:rPr>
          <w:rFonts w:ascii="Verdana" w:hAnsi="Verdana"/>
          <w:i/>
        </w:rPr>
        <w:t xml:space="preserve"> bør omfatte punktene under</w:t>
      </w:r>
      <w:r w:rsidR="00317C4F" w:rsidRPr="00E6054D">
        <w:rPr>
          <w:rFonts w:ascii="Verdana" w:hAnsi="Verdana"/>
          <w:i/>
        </w:rPr>
        <w:t>.</w:t>
      </w:r>
    </w:p>
    <w:p w14:paraId="3C61CEC4" w14:textId="77777777" w:rsidR="00993249" w:rsidRPr="008B2684" w:rsidRDefault="00993249" w:rsidP="00631FAC">
      <w:pPr>
        <w:rPr>
          <w:rFonts w:ascii="Verdana" w:hAnsi="Verdana"/>
        </w:rPr>
      </w:pPr>
    </w:p>
    <w:p w14:paraId="0F46139E" w14:textId="77777777" w:rsidR="00C33DA8" w:rsidRPr="00DB762E" w:rsidRDefault="0092346C" w:rsidP="00BD22D6">
      <w:pPr>
        <w:pStyle w:val="Listeavsnitt"/>
        <w:numPr>
          <w:ilvl w:val="0"/>
          <w:numId w:val="2"/>
        </w:numPr>
        <w:rPr>
          <w:rFonts w:ascii="Verdana" w:hAnsi="Verdana"/>
          <w:i/>
        </w:rPr>
      </w:pPr>
      <w:r w:rsidRPr="00DB762E">
        <w:rPr>
          <w:rFonts w:ascii="Verdana" w:hAnsi="Verdana"/>
          <w:i/>
        </w:rPr>
        <w:t>At</w:t>
      </w:r>
      <w:r w:rsidR="00993249" w:rsidRPr="00DB762E">
        <w:rPr>
          <w:rFonts w:ascii="Verdana" w:hAnsi="Verdana"/>
          <w:i/>
        </w:rPr>
        <w:t xml:space="preserve"> eleven har et vedtak om spesialundervisning eller et vedtak om rett til særskilt språkopplæring</w:t>
      </w:r>
      <w:r w:rsidR="00B41017" w:rsidRPr="00DB762E">
        <w:rPr>
          <w:rFonts w:ascii="Verdana" w:hAnsi="Verdana"/>
          <w:i/>
        </w:rPr>
        <w:t>, som åpner for at skolen kan vurdere om eleven skal fritas fra nasjonale prøver.</w:t>
      </w:r>
      <w:r w:rsidR="00BD22D6" w:rsidRPr="00DB762E">
        <w:rPr>
          <w:rFonts w:ascii="Verdana" w:hAnsi="Verdana"/>
          <w:i/>
        </w:rPr>
        <w:t xml:space="preserve"> </w:t>
      </w:r>
      <w:r w:rsidR="00993249" w:rsidRPr="00DB762E">
        <w:rPr>
          <w:rFonts w:ascii="Verdana" w:hAnsi="Verdana"/>
          <w:i/>
        </w:rPr>
        <w:t xml:space="preserve"> </w:t>
      </w:r>
    </w:p>
    <w:p w14:paraId="0E6B42C8" w14:textId="77777777" w:rsidR="00C33DA8" w:rsidRPr="00DB762E" w:rsidRDefault="00C33DA8" w:rsidP="00BD22D6">
      <w:pPr>
        <w:pStyle w:val="Listeavsnitt"/>
        <w:rPr>
          <w:rFonts w:ascii="Verdana" w:hAnsi="Verdana"/>
          <w:i/>
        </w:rPr>
      </w:pPr>
    </w:p>
    <w:p w14:paraId="43EDB6D7" w14:textId="77777777" w:rsidR="00BD22D6" w:rsidRPr="00DB762E" w:rsidRDefault="00BD22D6" w:rsidP="00BD22D6">
      <w:pPr>
        <w:pStyle w:val="Listeavsnitt"/>
        <w:numPr>
          <w:ilvl w:val="0"/>
          <w:numId w:val="2"/>
        </w:numPr>
        <w:rPr>
          <w:rFonts w:ascii="Verdana" w:hAnsi="Verdana"/>
          <w:i/>
        </w:rPr>
      </w:pPr>
      <w:r w:rsidRPr="00DB762E">
        <w:rPr>
          <w:rFonts w:ascii="Verdana" w:hAnsi="Verdana"/>
          <w:i/>
        </w:rPr>
        <w:t xml:space="preserve">Før det fattes enkeltvedtak om </w:t>
      </w:r>
      <w:r w:rsidR="00F61030" w:rsidRPr="00DB762E">
        <w:rPr>
          <w:rFonts w:ascii="Verdana" w:hAnsi="Verdana"/>
          <w:i/>
        </w:rPr>
        <w:t xml:space="preserve">fritak, </w:t>
      </w:r>
      <w:r w:rsidR="00F61030" w:rsidRPr="00DB762E">
        <w:rPr>
          <w:rFonts w:ascii="Verdana" w:hAnsi="Verdana"/>
          <w:i/>
          <w:u w:val="single"/>
        </w:rPr>
        <w:t>skal</w:t>
      </w:r>
      <w:r w:rsidR="00F61030" w:rsidRPr="00DB762E">
        <w:rPr>
          <w:rFonts w:ascii="Verdana" w:hAnsi="Verdana"/>
          <w:i/>
        </w:rPr>
        <w:t xml:space="preserve"> eleven/foreldre</w:t>
      </w:r>
      <w:r w:rsidRPr="00DB762E">
        <w:rPr>
          <w:rFonts w:ascii="Verdana" w:hAnsi="Verdana"/>
          <w:i/>
        </w:rPr>
        <w:t xml:space="preserve"> få anledning til å uttale seg. </w:t>
      </w:r>
      <w:r w:rsidR="00B41017" w:rsidRPr="00DB762E">
        <w:rPr>
          <w:rFonts w:ascii="Verdana" w:hAnsi="Verdana"/>
          <w:i/>
        </w:rPr>
        <w:t>O</w:t>
      </w:r>
      <w:r w:rsidRPr="00DB762E">
        <w:rPr>
          <w:rFonts w:ascii="Verdana" w:hAnsi="Verdana"/>
          <w:i/>
        </w:rPr>
        <w:t>pplysninger om deres syn på saken</w:t>
      </w:r>
      <w:r w:rsidR="00B41017" w:rsidRPr="00DB762E">
        <w:rPr>
          <w:rFonts w:ascii="Verdana" w:hAnsi="Verdana"/>
          <w:i/>
        </w:rPr>
        <w:t xml:space="preserve"> bør være med her.</w:t>
      </w:r>
    </w:p>
    <w:p w14:paraId="118C3B30" w14:textId="77777777" w:rsidR="00BD22D6" w:rsidRPr="00DB762E" w:rsidRDefault="00BD22D6" w:rsidP="00B41017">
      <w:pPr>
        <w:pStyle w:val="Listeavsnitt"/>
        <w:rPr>
          <w:rFonts w:ascii="Verdana" w:hAnsi="Verdana"/>
          <w:i/>
        </w:rPr>
      </w:pPr>
    </w:p>
    <w:p w14:paraId="4BC75530" w14:textId="77777777" w:rsidR="00037529" w:rsidRDefault="00037529" w:rsidP="00631FAC">
      <w:pPr>
        <w:rPr>
          <w:rFonts w:ascii="Verdana" w:hAnsi="Verdana"/>
        </w:rPr>
      </w:pPr>
    </w:p>
    <w:p w14:paraId="391BE77B" w14:textId="77777777" w:rsidR="00631FAC" w:rsidRDefault="00037529" w:rsidP="00631FAC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V</w:t>
      </w:r>
      <w:r w:rsidR="00631FAC" w:rsidRPr="0041247C">
        <w:rPr>
          <w:b/>
          <w:sz w:val="20"/>
          <w:szCs w:val="20"/>
        </w:rPr>
        <w:t xml:space="preserve">urdering </w:t>
      </w:r>
    </w:p>
    <w:p w14:paraId="285DCDEB" w14:textId="6FCC8BB4" w:rsidR="00C0633A" w:rsidRPr="00E6054D" w:rsidRDefault="00C0633A" w:rsidP="00631FAC">
      <w:pPr>
        <w:pStyle w:val="Default"/>
        <w:rPr>
          <w:i/>
          <w:sz w:val="20"/>
          <w:szCs w:val="20"/>
        </w:rPr>
      </w:pPr>
      <w:r w:rsidRPr="00E6054D">
        <w:rPr>
          <w:i/>
          <w:sz w:val="20"/>
          <w:szCs w:val="20"/>
        </w:rPr>
        <w:t>D</w:t>
      </w:r>
      <w:r w:rsidR="00B41017" w:rsidRPr="00E6054D">
        <w:rPr>
          <w:i/>
          <w:sz w:val="20"/>
          <w:szCs w:val="20"/>
        </w:rPr>
        <w:t>u må begrunne hvorfor eleven bør</w:t>
      </w:r>
      <w:r w:rsidRPr="00E6054D">
        <w:rPr>
          <w:i/>
          <w:sz w:val="20"/>
          <w:szCs w:val="20"/>
        </w:rPr>
        <w:t xml:space="preserve"> fritas fra nasjonale prøver.</w:t>
      </w:r>
      <w:r w:rsidR="00D52B6A" w:rsidRPr="00E6054D">
        <w:rPr>
          <w:i/>
          <w:sz w:val="20"/>
          <w:szCs w:val="20"/>
        </w:rPr>
        <w:t xml:space="preserve"> Beskrive</w:t>
      </w:r>
      <w:r w:rsidR="00227501" w:rsidRPr="00E6054D">
        <w:rPr>
          <w:i/>
          <w:sz w:val="20"/>
          <w:szCs w:val="20"/>
        </w:rPr>
        <w:t xml:space="preserve"> hvorfor vilkårene for fritak </w:t>
      </w:r>
      <w:r w:rsidR="00931C0C" w:rsidRPr="00E6054D">
        <w:rPr>
          <w:i/>
          <w:sz w:val="20"/>
          <w:szCs w:val="20"/>
        </w:rPr>
        <w:t>er</w:t>
      </w:r>
      <w:r w:rsidR="00D52B6A" w:rsidRPr="00E6054D">
        <w:rPr>
          <w:i/>
          <w:sz w:val="20"/>
          <w:szCs w:val="20"/>
        </w:rPr>
        <w:t xml:space="preserve"> oppfylt.</w:t>
      </w:r>
      <w:r w:rsidRPr="00E6054D">
        <w:rPr>
          <w:i/>
          <w:sz w:val="20"/>
          <w:szCs w:val="20"/>
        </w:rPr>
        <w:t xml:space="preserve"> </w:t>
      </w:r>
      <w:r w:rsidR="00B41017" w:rsidRPr="00E6054D">
        <w:rPr>
          <w:i/>
          <w:sz w:val="20"/>
          <w:szCs w:val="20"/>
        </w:rPr>
        <w:t>Dersom det dreier seg om fritak fra flere prøver</w:t>
      </w:r>
      <w:r w:rsidR="00660682" w:rsidRPr="00E6054D">
        <w:rPr>
          <w:i/>
          <w:sz w:val="20"/>
          <w:szCs w:val="20"/>
        </w:rPr>
        <w:t xml:space="preserve">, må det foretas en </w:t>
      </w:r>
      <w:r w:rsidR="00D52B6A" w:rsidRPr="00E6054D">
        <w:rPr>
          <w:i/>
          <w:sz w:val="20"/>
          <w:szCs w:val="20"/>
        </w:rPr>
        <w:t>vurdering for</w:t>
      </w:r>
      <w:r w:rsidR="00BE647A" w:rsidRPr="00E6054D">
        <w:rPr>
          <w:i/>
          <w:sz w:val="20"/>
          <w:szCs w:val="20"/>
        </w:rPr>
        <w:t xml:space="preserve"> hver enkelt prøve</w:t>
      </w:r>
      <w:r w:rsidR="00660682" w:rsidRPr="00E6054D">
        <w:rPr>
          <w:i/>
          <w:sz w:val="20"/>
          <w:szCs w:val="20"/>
        </w:rPr>
        <w:t xml:space="preserve">. </w:t>
      </w:r>
      <w:r w:rsidR="00D52B6A" w:rsidRPr="00E6054D">
        <w:rPr>
          <w:i/>
          <w:sz w:val="20"/>
          <w:szCs w:val="20"/>
        </w:rPr>
        <w:t>En vurdering må blant annet:</w:t>
      </w:r>
    </w:p>
    <w:p w14:paraId="31B1869D" w14:textId="77777777" w:rsidR="00D52B6A" w:rsidRPr="008B2684" w:rsidRDefault="00D52B6A" w:rsidP="00D52B6A">
      <w:pPr>
        <w:pStyle w:val="Default"/>
        <w:ind w:left="360"/>
        <w:rPr>
          <w:i/>
          <w:sz w:val="20"/>
          <w:szCs w:val="20"/>
        </w:rPr>
      </w:pPr>
    </w:p>
    <w:p w14:paraId="02861180" w14:textId="77777777" w:rsidR="00D52B6A" w:rsidRPr="008B2684" w:rsidRDefault="00931C0C" w:rsidP="00D52B6A">
      <w:pPr>
        <w:pStyle w:val="Default"/>
        <w:numPr>
          <w:ilvl w:val="0"/>
          <w:numId w:val="4"/>
        </w:numPr>
        <w:rPr>
          <w:i/>
          <w:sz w:val="20"/>
          <w:szCs w:val="20"/>
        </w:rPr>
      </w:pPr>
      <w:r w:rsidRPr="008B2684">
        <w:rPr>
          <w:i/>
          <w:sz w:val="20"/>
          <w:szCs w:val="20"/>
        </w:rPr>
        <w:t xml:space="preserve">Slå </w:t>
      </w:r>
      <w:r w:rsidR="00AF45B0" w:rsidRPr="008B2684">
        <w:rPr>
          <w:i/>
          <w:sz w:val="20"/>
          <w:szCs w:val="20"/>
        </w:rPr>
        <w:t>fast at</w:t>
      </w:r>
      <w:r w:rsidRPr="008B2684">
        <w:rPr>
          <w:i/>
          <w:sz w:val="20"/>
          <w:szCs w:val="20"/>
        </w:rPr>
        <w:t xml:space="preserve"> eleven oppfyller vilkåret om enten enkeltvedtak om spesialundervisning eller enkeltve</w:t>
      </w:r>
      <w:r w:rsidR="00AF45B0" w:rsidRPr="008B2684">
        <w:rPr>
          <w:i/>
          <w:sz w:val="20"/>
          <w:szCs w:val="20"/>
        </w:rPr>
        <w:t>dtak om særskilt språkopplæring.</w:t>
      </w:r>
      <w:r w:rsidR="00223774" w:rsidRPr="008B2684">
        <w:rPr>
          <w:i/>
          <w:sz w:val="20"/>
          <w:szCs w:val="20"/>
        </w:rPr>
        <w:t xml:space="preserve"> </w:t>
      </w:r>
    </w:p>
    <w:p w14:paraId="6C5A1485" w14:textId="77777777" w:rsidR="00F61030" w:rsidRPr="008B2684" w:rsidRDefault="00F61030" w:rsidP="00F61030">
      <w:pPr>
        <w:pStyle w:val="Default"/>
        <w:ind w:left="1080"/>
        <w:rPr>
          <w:i/>
          <w:sz w:val="20"/>
          <w:szCs w:val="20"/>
        </w:rPr>
      </w:pPr>
    </w:p>
    <w:p w14:paraId="56D214EC" w14:textId="02B14B67" w:rsidR="0078553D" w:rsidRPr="008B2684" w:rsidRDefault="00F61030" w:rsidP="00D52B6A">
      <w:pPr>
        <w:pStyle w:val="Default"/>
        <w:numPr>
          <w:ilvl w:val="0"/>
          <w:numId w:val="4"/>
        </w:numPr>
        <w:rPr>
          <w:i/>
          <w:sz w:val="20"/>
          <w:szCs w:val="20"/>
        </w:rPr>
      </w:pPr>
      <w:r w:rsidRPr="008B2684">
        <w:rPr>
          <w:i/>
          <w:sz w:val="20"/>
          <w:szCs w:val="20"/>
        </w:rPr>
        <w:t>B</w:t>
      </w:r>
      <w:r w:rsidR="00AF45B0" w:rsidRPr="008B2684">
        <w:rPr>
          <w:i/>
          <w:sz w:val="20"/>
          <w:szCs w:val="20"/>
        </w:rPr>
        <w:t>egrunne hvorfor skolen mener at</w:t>
      </w:r>
      <w:r w:rsidRPr="008B2684">
        <w:rPr>
          <w:i/>
          <w:sz w:val="20"/>
          <w:szCs w:val="20"/>
        </w:rPr>
        <w:t xml:space="preserve"> elevens resultater</w:t>
      </w:r>
      <w:r w:rsidR="00931C0C" w:rsidRPr="008B2684">
        <w:rPr>
          <w:i/>
          <w:sz w:val="20"/>
          <w:szCs w:val="20"/>
        </w:rPr>
        <w:t xml:space="preserve"> fra prøven</w:t>
      </w:r>
      <w:r w:rsidR="00227501" w:rsidRPr="008B2684">
        <w:rPr>
          <w:i/>
          <w:sz w:val="20"/>
          <w:szCs w:val="20"/>
        </w:rPr>
        <w:t xml:space="preserve"> ikke vil ha mye</w:t>
      </w:r>
      <w:r w:rsidR="00122A0E" w:rsidRPr="008B2684">
        <w:rPr>
          <w:i/>
          <w:sz w:val="20"/>
          <w:szCs w:val="20"/>
        </w:rPr>
        <w:t xml:space="preserve"> å si for opplæringen til eleven</w:t>
      </w:r>
      <w:r w:rsidR="00AF45B0" w:rsidRPr="008B2684">
        <w:rPr>
          <w:i/>
          <w:sz w:val="20"/>
          <w:szCs w:val="20"/>
        </w:rPr>
        <w:t>.</w:t>
      </w:r>
      <w:r w:rsidR="00EE762C" w:rsidRPr="008B2684">
        <w:rPr>
          <w:i/>
          <w:sz w:val="20"/>
          <w:szCs w:val="20"/>
        </w:rPr>
        <w:t xml:space="preserve"> </w:t>
      </w:r>
      <w:r w:rsidR="00122A0E" w:rsidRPr="008B2684">
        <w:rPr>
          <w:i/>
          <w:sz w:val="20"/>
          <w:szCs w:val="20"/>
        </w:rPr>
        <w:t>Begrunnelsen bør</w:t>
      </w:r>
      <w:r w:rsidR="001A219D" w:rsidRPr="008B2684">
        <w:rPr>
          <w:i/>
          <w:sz w:val="20"/>
          <w:szCs w:val="20"/>
        </w:rPr>
        <w:t xml:space="preserve"> si noe om hvorfor elevens prøveresultater ikke vil være særlig nyttige når læreren tilrettelegger opplæringen.</w:t>
      </w:r>
      <w:r w:rsidR="001B736C" w:rsidRPr="008B2684">
        <w:rPr>
          <w:i/>
          <w:sz w:val="20"/>
          <w:szCs w:val="20"/>
        </w:rPr>
        <w:t xml:space="preserve"> </w:t>
      </w:r>
      <w:r w:rsidR="00EE762C" w:rsidRPr="008B2684">
        <w:rPr>
          <w:i/>
          <w:sz w:val="20"/>
          <w:szCs w:val="20"/>
        </w:rPr>
        <w:t>Dette er en vurdering rektor for</w:t>
      </w:r>
      <w:r w:rsidR="004D3260">
        <w:rPr>
          <w:i/>
          <w:sz w:val="20"/>
          <w:szCs w:val="20"/>
        </w:rPr>
        <w:t>e</w:t>
      </w:r>
      <w:r w:rsidR="00EE762C" w:rsidRPr="008B2684">
        <w:rPr>
          <w:i/>
          <w:sz w:val="20"/>
          <w:szCs w:val="20"/>
        </w:rPr>
        <w:t xml:space="preserve">tar i samråd med elevens lærer, men det er kun skolens vurdering som skal </w:t>
      </w:r>
      <w:proofErr w:type="gramStart"/>
      <w:r w:rsidR="00EE762C" w:rsidRPr="008B2684">
        <w:rPr>
          <w:i/>
          <w:sz w:val="20"/>
          <w:szCs w:val="20"/>
        </w:rPr>
        <w:t>fremgå</w:t>
      </w:r>
      <w:proofErr w:type="gramEnd"/>
      <w:r w:rsidR="00EE762C" w:rsidRPr="008B2684">
        <w:rPr>
          <w:i/>
          <w:sz w:val="20"/>
          <w:szCs w:val="20"/>
        </w:rPr>
        <w:t xml:space="preserve"> av enkeltvedtaket. </w:t>
      </w:r>
    </w:p>
    <w:p w14:paraId="54799426" w14:textId="77777777" w:rsidR="0078553D" w:rsidRPr="008B2684" w:rsidRDefault="0078553D" w:rsidP="0078553D">
      <w:pPr>
        <w:pStyle w:val="Listeavsnitt"/>
        <w:rPr>
          <w:i/>
        </w:rPr>
      </w:pPr>
    </w:p>
    <w:p w14:paraId="57355DA7" w14:textId="77777777" w:rsidR="00931C0C" w:rsidRPr="008B2684" w:rsidRDefault="0078553D" w:rsidP="0078553D">
      <w:pPr>
        <w:pStyle w:val="Default"/>
        <w:numPr>
          <w:ilvl w:val="0"/>
          <w:numId w:val="4"/>
        </w:numPr>
        <w:rPr>
          <w:i/>
          <w:sz w:val="20"/>
          <w:szCs w:val="20"/>
        </w:rPr>
      </w:pPr>
      <w:r w:rsidRPr="008B2684">
        <w:rPr>
          <w:i/>
          <w:sz w:val="20"/>
          <w:szCs w:val="20"/>
        </w:rPr>
        <w:t xml:space="preserve">Dersom eleven/foreldre har uttalt seg, bør skolens vurdering av uttalelsene komme tydelig fram. </w:t>
      </w:r>
    </w:p>
    <w:p w14:paraId="3556C66E" w14:textId="77777777" w:rsidR="00D52B6A" w:rsidRPr="008B2684" w:rsidRDefault="00D52B6A" w:rsidP="00631FAC">
      <w:pPr>
        <w:pStyle w:val="Default"/>
        <w:rPr>
          <w:i/>
          <w:sz w:val="20"/>
          <w:szCs w:val="20"/>
        </w:rPr>
      </w:pPr>
    </w:p>
    <w:p w14:paraId="5D073FFA" w14:textId="6F59484D" w:rsidR="00631FAC" w:rsidRPr="00107562" w:rsidRDefault="00107562" w:rsidP="00631FAC">
      <w:pPr>
        <w:pStyle w:val="Default"/>
        <w:rPr>
          <w:i/>
          <w:sz w:val="20"/>
          <w:szCs w:val="20"/>
        </w:rPr>
      </w:pPr>
      <w:r w:rsidRPr="00107562">
        <w:rPr>
          <w:i/>
          <w:sz w:val="20"/>
          <w:szCs w:val="20"/>
        </w:rPr>
        <w:t xml:space="preserve">Du/dere må synliggjøre hvordan eleven har blitt hørt i saken og hvordan barnets beste er vurdert og vektlagt. Grunnloven § 104, barnekonvensjonen artikkel 12, og forvaltningsloven § 17 gir barn og unge en rett til å bli hørt i saker som vedrører dem, og barnets syn skal tillegges vekt i samsvar med barnets alder og modenhet. Barnets beste skal være et grunnleggende hensyn, jf. Grl. § 104 og </w:t>
      </w:r>
      <w:proofErr w:type="spellStart"/>
      <w:r w:rsidRPr="00107562">
        <w:rPr>
          <w:i/>
          <w:sz w:val="20"/>
          <w:szCs w:val="20"/>
        </w:rPr>
        <w:t>bk</w:t>
      </w:r>
      <w:proofErr w:type="spellEnd"/>
      <w:r w:rsidRPr="00107562">
        <w:rPr>
          <w:i/>
          <w:sz w:val="20"/>
          <w:szCs w:val="20"/>
        </w:rPr>
        <w:t xml:space="preserve"> art.3.</w:t>
      </w:r>
    </w:p>
    <w:p w14:paraId="7A2E47BD" w14:textId="77777777" w:rsidR="00631FAC" w:rsidRDefault="00631FAC" w:rsidP="00631FAC">
      <w:pPr>
        <w:pStyle w:val="Default"/>
        <w:rPr>
          <w:b/>
          <w:bCs/>
          <w:sz w:val="20"/>
          <w:szCs w:val="20"/>
        </w:rPr>
      </w:pPr>
    </w:p>
    <w:p w14:paraId="0923CBE8" w14:textId="77777777" w:rsidR="000A18BC" w:rsidRDefault="000A18BC" w:rsidP="00631FAC">
      <w:pPr>
        <w:pStyle w:val="Default"/>
        <w:rPr>
          <w:b/>
          <w:bCs/>
          <w:sz w:val="20"/>
          <w:szCs w:val="20"/>
        </w:rPr>
      </w:pPr>
    </w:p>
    <w:p w14:paraId="4E31CFAD" w14:textId="77777777" w:rsidR="00B3199D" w:rsidRDefault="00B3199D" w:rsidP="00E6054D">
      <w:pPr>
        <w:pStyle w:val="Default"/>
        <w:rPr>
          <w:b/>
          <w:bCs/>
          <w:sz w:val="20"/>
          <w:szCs w:val="20"/>
        </w:rPr>
      </w:pPr>
    </w:p>
    <w:p w14:paraId="67F8F351" w14:textId="77777777" w:rsidR="00B3199D" w:rsidRDefault="00B3199D" w:rsidP="00E6054D">
      <w:pPr>
        <w:pStyle w:val="Default"/>
        <w:rPr>
          <w:b/>
          <w:bCs/>
          <w:sz w:val="20"/>
          <w:szCs w:val="20"/>
        </w:rPr>
      </w:pPr>
    </w:p>
    <w:p w14:paraId="549B519A" w14:textId="77777777" w:rsidR="00B3199D" w:rsidRDefault="00B3199D" w:rsidP="00E6054D">
      <w:pPr>
        <w:pStyle w:val="Default"/>
        <w:rPr>
          <w:b/>
          <w:bCs/>
          <w:sz w:val="20"/>
          <w:szCs w:val="20"/>
        </w:rPr>
      </w:pPr>
    </w:p>
    <w:p w14:paraId="65965F5A" w14:textId="77777777" w:rsidR="00B3199D" w:rsidRDefault="00B3199D" w:rsidP="00E6054D">
      <w:pPr>
        <w:pStyle w:val="Default"/>
        <w:rPr>
          <w:b/>
          <w:bCs/>
          <w:sz w:val="20"/>
          <w:szCs w:val="20"/>
        </w:rPr>
      </w:pPr>
    </w:p>
    <w:p w14:paraId="6563C557" w14:textId="1F73826C" w:rsidR="00037529" w:rsidRDefault="00631FAC" w:rsidP="00E6054D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Klageadgang </w:t>
      </w:r>
    </w:p>
    <w:p w14:paraId="557CEF0E" w14:textId="66A66557" w:rsidR="007C4F9C" w:rsidRPr="007C4F9C" w:rsidRDefault="007C4F9C" w:rsidP="004D3260">
      <w:pPr>
        <w:pStyle w:val="Default"/>
        <w:rPr>
          <w:bCs/>
          <w:i/>
          <w:sz w:val="20"/>
          <w:szCs w:val="20"/>
        </w:rPr>
      </w:pPr>
      <w:r w:rsidRPr="007C4F9C">
        <w:rPr>
          <w:bCs/>
          <w:i/>
          <w:sz w:val="20"/>
          <w:szCs w:val="20"/>
        </w:rPr>
        <w:t>Vi for</w:t>
      </w:r>
      <w:r w:rsidR="004D3260">
        <w:rPr>
          <w:bCs/>
          <w:i/>
          <w:sz w:val="20"/>
          <w:szCs w:val="20"/>
        </w:rPr>
        <w:t>e</w:t>
      </w:r>
      <w:r w:rsidRPr="007C4F9C">
        <w:rPr>
          <w:bCs/>
          <w:i/>
          <w:sz w:val="20"/>
          <w:szCs w:val="20"/>
        </w:rPr>
        <w:t>slår at du som rektor beskriver klageadgangen slik:</w:t>
      </w:r>
    </w:p>
    <w:p w14:paraId="114EB9B7" w14:textId="77777777" w:rsidR="007C4F9C" w:rsidRPr="00E6054D" w:rsidRDefault="007C4F9C" w:rsidP="00E6054D">
      <w:pPr>
        <w:pStyle w:val="Default"/>
        <w:rPr>
          <w:sz w:val="20"/>
          <w:szCs w:val="20"/>
        </w:rPr>
      </w:pPr>
    </w:p>
    <w:p w14:paraId="3F968FCB" w14:textId="5A4D035B" w:rsidR="00037529" w:rsidRPr="00037529" w:rsidRDefault="00037529" w:rsidP="00037529">
      <w:pPr>
        <w:rPr>
          <w:rFonts w:ascii="Verdana" w:hAnsi="Verdana"/>
          <w:b/>
        </w:rPr>
      </w:pPr>
      <w:r w:rsidRPr="00037529">
        <w:rPr>
          <w:rFonts w:ascii="Verdana" w:hAnsi="Verdana"/>
        </w:rPr>
        <w:t>Du kan klage på dette vedtaket. Hvis du vil klage, er fristen tre uker fra du har mottatt</w:t>
      </w:r>
      <w:r w:rsidRPr="00037529">
        <w:rPr>
          <w:rFonts w:ascii="Verdana" w:hAnsi="Verdana"/>
          <w:b/>
        </w:rPr>
        <w:t xml:space="preserve"> </w:t>
      </w:r>
      <w:r w:rsidRPr="00037529">
        <w:rPr>
          <w:rFonts w:ascii="Verdana" w:hAnsi="Verdana"/>
        </w:rPr>
        <w:t xml:space="preserve">vedtaket. Klagen </w:t>
      </w:r>
      <w:r w:rsidR="000A72C4" w:rsidRPr="00037529">
        <w:rPr>
          <w:rFonts w:ascii="Verdana" w:hAnsi="Verdana"/>
        </w:rPr>
        <w:t xml:space="preserve">bør være skriftlig </w:t>
      </w:r>
      <w:r w:rsidR="000A72C4">
        <w:rPr>
          <w:rFonts w:ascii="Verdana" w:hAnsi="Verdana"/>
        </w:rPr>
        <w:t xml:space="preserve">og </w:t>
      </w:r>
      <w:r w:rsidRPr="00037529">
        <w:rPr>
          <w:rFonts w:ascii="Verdana" w:hAnsi="Verdana"/>
        </w:rPr>
        <w:t>må nevne hvilken endring du ønsker. Hvis klagen ikke er skriftlig, vil skolen skrive ned klagen. Du bør også begrunne klagen. Du sender</w:t>
      </w:r>
      <w:r w:rsidRPr="00037529">
        <w:rPr>
          <w:rFonts w:ascii="Verdana" w:hAnsi="Verdana"/>
          <w:b/>
        </w:rPr>
        <w:t xml:space="preserve"> </w:t>
      </w:r>
      <w:r w:rsidRPr="00037529">
        <w:rPr>
          <w:rFonts w:ascii="Verdana" w:hAnsi="Verdana"/>
        </w:rPr>
        <w:t xml:space="preserve">klagen til skolen ved rektor. Dersom skolen ikke er enig i klagen din og </w:t>
      </w:r>
      <w:r w:rsidR="000A72C4">
        <w:rPr>
          <w:rFonts w:ascii="Verdana" w:hAnsi="Verdana"/>
        </w:rPr>
        <w:t xml:space="preserve">ikke </w:t>
      </w:r>
      <w:r w:rsidRPr="00037529">
        <w:rPr>
          <w:rFonts w:ascii="Verdana" w:hAnsi="Verdana"/>
        </w:rPr>
        <w:t>omgjør vedtaket, vil vi sende den</w:t>
      </w:r>
      <w:r w:rsidRPr="00037529">
        <w:rPr>
          <w:rFonts w:ascii="Verdana" w:hAnsi="Verdana"/>
          <w:b/>
        </w:rPr>
        <w:t xml:space="preserve"> </w:t>
      </w:r>
      <w:r w:rsidRPr="00037529">
        <w:rPr>
          <w:rFonts w:ascii="Verdana" w:hAnsi="Verdana"/>
        </w:rPr>
        <w:t xml:space="preserve">til </w:t>
      </w:r>
      <w:proofErr w:type="spellStart"/>
      <w:r w:rsidR="002625B0">
        <w:rPr>
          <w:rFonts w:ascii="Verdana" w:hAnsi="Verdana"/>
        </w:rPr>
        <w:t>statsforvalteren</w:t>
      </w:r>
      <w:proofErr w:type="spellEnd"/>
      <w:r w:rsidRPr="00037529">
        <w:rPr>
          <w:rFonts w:ascii="Verdana" w:hAnsi="Verdana"/>
        </w:rPr>
        <w:t xml:space="preserve"> i fylket, som er endelig klageinstans.</w:t>
      </w:r>
    </w:p>
    <w:p w14:paraId="0E173BE3" w14:textId="77777777" w:rsidR="00037529" w:rsidRDefault="00037529" w:rsidP="00037529">
      <w:pPr>
        <w:rPr>
          <w:rFonts w:ascii="Verdana" w:hAnsi="Verdana"/>
        </w:rPr>
      </w:pPr>
    </w:p>
    <w:p w14:paraId="0A72DF66" w14:textId="77777777" w:rsidR="00037529" w:rsidRDefault="00037529" w:rsidP="00037529">
      <w:pPr>
        <w:rPr>
          <w:rFonts w:ascii="Verdana" w:hAnsi="Verdana"/>
        </w:rPr>
      </w:pPr>
    </w:p>
    <w:p w14:paraId="73F0FFD4" w14:textId="77777777" w:rsidR="00037529" w:rsidRPr="00037529" w:rsidRDefault="00037529" w:rsidP="00037529">
      <w:pPr>
        <w:rPr>
          <w:rFonts w:ascii="Verdana" w:hAnsi="Verdana"/>
        </w:rPr>
      </w:pPr>
      <w:r w:rsidRPr="00037529">
        <w:rPr>
          <w:rFonts w:ascii="Verdana" w:hAnsi="Verdana"/>
        </w:rPr>
        <w:t>Fristen for å klage på et enkeltvedtak er bestemt i forvaltningsloven § 29. Regelverket for å se dokumenter i saken finner du i forvaltningsloven §§ 18 og 19. Forvaltningsloven § 12 sier at du kan bruke en fullmektig.</w:t>
      </w:r>
    </w:p>
    <w:p w14:paraId="7F93558F" w14:textId="77777777" w:rsidR="00631FAC" w:rsidRDefault="00631FAC" w:rsidP="00631FAC">
      <w:pPr>
        <w:rPr>
          <w:rFonts w:ascii="Verdana" w:hAnsi="Verdana"/>
        </w:rPr>
      </w:pPr>
    </w:p>
    <w:p w14:paraId="52463E5E" w14:textId="77777777" w:rsidR="00631FAC" w:rsidRDefault="00631FAC" w:rsidP="00631FAC">
      <w:pPr>
        <w:rPr>
          <w:rFonts w:ascii="Verdana" w:hAnsi="Verdana"/>
        </w:rPr>
      </w:pPr>
    </w:p>
    <w:p w14:paraId="6BD379E2" w14:textId="77777777" w:rsidR="00631FAC" w:rsidRDefault="00631FAC" w:rsidP="00631FAC">
      <w:pPr>
        <w:rPr>
          <w:rFonts w:ascii="Verdana" w:hAnsi="Verdan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75"/>
      </w:tblGrid>
      <w:tr w:rsidR="00037529" w14:paraId="7C087BFB" w14:textId="77777777" w:rsidTr="00037529">
        <w:tc>
          <w:tcPr>
            <w:tcW w:w="5675" w:type="dxa"/>
          </w:tcPr>
          <w:p w14:paraId="2AF7B5DC" w14:textId="77777777" w:rsidR="00037529" w:rsidRDefault="00037529" w:rsidP="00DF4B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Vennlig hilsen</w:t>
            </w:r>
          </w:p>
        </w:tc>
      </w:tr>
      <w:tr w:rsidR="00037529" w14:paraId="67C9005E" w14:textId="77777777" w:rsidTr="00037529">
        <w:tc>
          <w:tcPr>
            <w:tcW w:w="5675" w:type="dxa"/>
          </w:tcPr>
          <w:p w14:paraId="6C893BD3" w14:textId="77777777" w:rsidR="00037529" w:rsidRDefault="00037529" w:rsidP="00DF4B73">
            <w:pPr>
              <w:rPr>
                <w:rFonts w:ascii="Verdana" w:hAnsi="Verdana"/>
              </w:rPr>
            </w:pPr>
          </w:p>
        </w:tc>
      </w:tr>
      <w:tr w:rsidR="00037529" w14:paraId="55D08860" w14:textId="77777777" w:rsidTr="00037529">
        <w:tc>
          <w:tcPr>
            <w:tcW w:w="5675" w:type="dxa"/>
          </w:tcPr>
          <w:p w14:paraId="251FF396" w14:textId="77777777" w:rsidR="00037529" w:rsidRDefault="00037529" w:rsidP="00DF4B73">
            <w:pPr>
              <w:rPr>
                <w:rFonts w:ascii="Verdana" w:hAnsi="Verdana"/>
              </w:rPr>
            </w:pPr>
          </w:p>
        </w:tc>
      </w:tr>
      <w:tr w:rsidR="00037529" w14:paraId="4B209D46" w14:textId="77777777" w:rsidTr="00037529">
        <w:tc>
          <w:tcPr>
            <w:tcW w:w="5675" w:type="dxa"/>
          </w:tcPr>
          <w:p w14:paraId="3C0C9E45" w14:textId="77777777" w:rsidR="00037529" w:rsidRDefault="00037529" w:rsidP="00DF4B73">
            <w:pPr>
              <w:rPr>
                <w:rFonts w:ascii="Verdana" w:hAnsi="Verdana"/>
              </w:rPr>
            </w:pPr>
          </w:p>
        </w:tc>
      </w:tr>
      <w:tr w:rsidR="00037529" w14:paraId="1E4D79BD" w14:textId="77777777" w:rsidTr="00037529">
        <w:tc>
          <w:tcPr>
            <w:tcW w:w="5675" w:type="dxa"/>
          </w:tcPr>
          <w:p w14:paraId="3D3E68F6" w14:textId="77777777" w:rsidR="00037529" w:rsidRDefault="00037529" w:rsidP="00DF4B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Rektor NN</w:t>
            </w:r>
          </w:p>
        </w:tc>
      </w:tr>
      <w:tr w:rsidR="00037529" w14:paraId="570E5C78" w14:textId="77777777" w:rsidTr="00037529">
        <w:tc>
          <w:tcPr>
            <w:tcW w:w="5675" w:type="dxa"/>
          </w:tcPr>
          <w:p w14:paraId="1D440F5E" w14:textId="77777777" w:rsidR="00037529" w:rsidRDefault="00037529" w:rsidP="00DF4B73">
            <w:pPr>
              <w:rPr>
                <w:rFonts w:ascii="Verdana" w:hAnsi="Verdana"/>
              </w:rPr>
            </w:pPr>
          </w:p>
        </w:tc>
      </w:tr>
    </w:tbl>
    <w:p w14:paraId="5CFE40D5" w14:textId="77777777" w:rsidR="00631FAC" w:rsidRPr="004E75DB" w:rsidRDefault="00631FAC" w:rsidP="00631FAC">
      <w:pPr>
        <w:rPr>
          <w:rFonts w:ascii="Verdana" w:hAnsi="Verdana"/>
        </w:rPr>
      </w:pPr>
    </w:p>
    <w:p w14:paraId="210A1208" w14:textId="77777777" w:rsidR="00631FAC" w:rsidRPr="004E75DB" w:rsidRDefault="00631FAC" w:rsidP="00631FAC">
      <w:pPr>
        <w:rPr>
          <w:rFonts w:ascii="Verdana" w:hAnsi="Verdana"/>
        </w:rPr>
      </w:pPr>
    </w:p>
    <w:p w14:paraId="1A6290E7" w14:textId="77777777" w:rsidR="00631FAC" w:rsidRPr="004E75DB" w:rsidRDefault="00631FAC" w:rsidP="00631FAC">
      <w:pPr>
        <w:rPr>
          <w:rFonts w:ascii="Verdana" w:hAnsi="Verdana"/>
        </w:rPr>
      </w:pPr>
    </w:p>
    <w:tbl>
      <w:tblPr>
        <w:tblW w:w="71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0"/>
      </w:tblGrid>
      <w:tr w:rsidR="00631FAC" w:rsidRPr="008B6605" w14:paraId="7094A85D" w14:textId="77777777" w:rsidTr="00DF4B73">
        <w:tc>
          <w:tcPr>
            <w:tcW w:w="7190" w:type="dxa"/>
            <w:shd w:val="clear" w:color="auto" w:fill="auto"/>
          </w:tcPr>
          <w:p w14:paraId="525DB925" w14:textId="77777777" w:rsidR="00631FAC" w:rsidRPr="008B6605" w:rsidRDefault="00631FAC" w:rsidP="00DF4B73">
            <w:pPr>
              <w:rPr>
                <w:rFonts w:ascii="Verdana" w:hAnsi="Verdana"/>
              </w:rPr>
            </w:pPr>
          </w:p>
        </w:tc>
      </w:tr>
    </w:tbl>
    <w:p w14:paraId="120BF585" w14:textId="77777777" w:rsidR="00292925" w:rsidRDefault="00292925"/>
    <w:sectPr w:rsidR="002929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BAD96" w14:textId="77777777" w:rsidR="004F4D63" w:rsidRDefault="004F4D63" w:rsidP="00E6054D">
      <w:r>
        <w:separator/>
      </w:r>
    </w:p>
  </w:endnote>
  <w:endnote w:type="continuationSeparator" w:id="0">
    <w:p w14:paraId="5912079F" w14:textId="77777777" w:rsidR="004F4D63" w:rsidRDefault="004F4D63" w:rsidP="00E60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813F6" w14:textId="77777777" w:rsidR="004F4D63" w:rsidRDefault="004F4D63" w:rsidP="00E6054D">
      <w:r>
        <w:separator/>
      </w:r>
    </w:p>
  </w:footnote>
  <w:footnote w:type="continuationSeparator" w:id="0">
    <w:p w14:paraId="5D17DA11" w14:textId="77777777" w:rsidR="004F4D63" w:rsidRDefault="004F4D63" w:rsidP="00E60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FEA50" w14:textId="74DA1544" w:rsidR="00E6054D" w:rsidRPr="00E6054D" w:rsidRDefault="004D3260" w:rsidP="000B2D40">
    <w:pPr>
      <w:pStyle w:val="Topptekst"/>
      <w:rPr>
        <w:rFonts w:ascii="Verdana" w:eastAsia="Calibri" w:hAnsi="Verdana"/>
        <w:sz w:val="18"/>
        <w:szCs w:val="18"/>
        <w:lang w:eastAsia="en-US"/>
      </w:rPr>
    </w:pPr>
    <w:r>
      <w:rPr>
        <w:rFonts w:ascii="Verdana" w:eastAsia="Calibri" w:hAnsi="Verdana"/>
        <w:i/>
        <w:iCs/>
        <w:sz w:val="18"/>
        <w:szCs w:val="18"/>
        <w:lang w:eastAsia="en-US"/>
      </w:rPr>
      <w:t>Bokmål</w:t>
    </w:r>
    <w:r>
      <w:rPr>
        <w:rFonts w:ascii="Verdana" w:eastAsia="Calibri" w:hAnsi="Verdana"/>
        <w:i/>
        <w:iCs/>
        <w:sz w:val="18"/>
        <w:szCs w:val="18"/>
        <w:lang w:eastAsia="en-US"/>
      </w:rPr>
      <w:tab/>
    </w:r>
    <w:r>
      <w:rPr>
        <w:rFonts w:ascii="Verdana" w:eastAsia="Calibri" w:hAnsi="Verdana"/>
        <w:i/>
        <w:iCs/>
        <w:sz w:val="18"/>
        <w:szCs w:val="18"/>
        <w:lang w:eastAsia="en-US"/>
      </w:rPr>
      <w:tab/>
    </w:r>
    <w:r w:rsidR="00E6054D" w:rsidRPr="00E6054D">
      <w:rPr>
        <w:rFonts w:ascii="Verdana" w:eastAsia="Calibri" w:hAnsi="Verdana"/>
        <w:i/>
        <w:iCs/>
        <w:sz w:val="18"/>
        <w:szCs w:val="18"/>
        <w:lang w:eastAsia="en-US"/>
      </w:rPr>
      <w:t xml:space="preserve">Unntatt offentlighet: </w:t>
    </w:r>
    <w:proofErr w:type="spellStart"/>
    <w:r w:rsidR="00E6054D" w:rsidRPr="00E6054D">
      <w:rPr>
        <w:rFonts w:ascii="Verdana" w:eastAsia="Calibri" w:hAnsi="Verdana"/>
        <w:i/>
        <w:iCs/>
        <w:sz w:val="18"/>
        <w:szCs w:val="18"/>
        <w:lang w:eastAsia="en-US"/>
      </w:rPr>
      <w:t>Offl</w:t>
    </w:r>
    <w:proofErr w:type="spellEnd"/>
    <w:r w:rsidR="00E6054D" w:rsidRPr="00E6054D">
      <w:rPr>
        <w:rFonts w:ascii="Verdana" w:eastAsia="Calibri" w:hAnsi="Verdana"/>
        <w:i/>
        <w:iCs/>
        <w:sz w:val="18"/>
        <w:szCs w:val="18"/>
        <w:lang w:eastAsia="en-US"/>
      </w:rPr>
      <w:t xml:space="preserve"> § 13, jf. </w:t>
    </w:r>
    <w:proofErr w:type="spellStart"/>
    <w:r w:rsidR="00E6054D" w:rsidRPr="00E6054D">
      <w:rPr>
        <w:rFonts w:ascii="Verdana" w:eastAsia="Calibri" w:hAnsi="Verdana"/>
        <w:i/>
        <w:iCs/>
        <w:sz w:val="18"/>
        <w:szCs w:val="18"/>
        <w:lang w:eastAsia="en-US"/>
      </w:rPr>
      <w:t>fvl</w:t>
    </w:r>
    <w:proofErr w:type="spellEnd"/>
    <w:r w:rsidR="00E6054D" w:rsidRPr="00E6054D">
      <w:rPr>
        <w:rFonts w:ascii="Verdana" w:eastAsia="Calibri" w:hAnsi="Verdana"/>
        <w:i/>
        <w:iCs/>
        <w:sz w:val="18"/>
        <w:szCs w:val="18"/>
        <w:lang w:eastAsia="en-US"/>
      </w:rPr>
      <w:t xml:space="preserve"> § 13.1.1</w:t>
    </w:r>
  </w:p>
  <w:p w14:paraId="1CC9F8E5" w14:textId="09D9DE33" w:rsidR="00E6054D" w:rsidRDefault="00E6054D">
    <w:pPr>
      <w:pStyle w:val="Topptekst"/>
    </w:pPr>
  </w:p>
  <w:p w14:paraId="4DE6AA3D" w14:textId="77777777" w:rsidR="00E6054D" w:rsidRDefault="00E6054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100EF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05664E8"/>
    <w:multiLevelType w:val="hybridMultilevel"/>
    <w:tmpl w:val="B28A06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F37F4"/>
    <w:multiLevelType w:val="hybridMultilevel"/>
    <w:tmpl w:val="738635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A778B1"/>
    <w:multiLevelType w:val="hybridMultilevel"/>
    <w:tmpl w:val="B16E3DD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80471F3"/>
    <w:multiLevelType w:val="hybridMultilevel"/>
    <w:tmpl w:val="BB7E7A9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4824719">
    <w:abstractNumId w:val="0"/>
  </w:num>
  <w:num w:numId="2" w16cid:durableId="1389065131">
    <w:abstractNumId w:val="1"/>
  </w:num>
  <w:num w:numId="3" w16cid:durableId="1177815182">
    <w:abstractNumId w:val="2"/>
  </w:num>
  <w:num w:numId="4" w16cid:durableId="1073704289">
    <w:abstractNumId w:val="3"/>
  </w:num>
  <w:num w:numId="5" w16cid:durableId="16712485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FAC"/>
    <w:rsid w:val="000076CB"/>
    <w:rsid w:val="000126ED"/>
    <w:rsid w:val="000209B4"/>
    <w:rsid w:val="00024FC0"/>
    <w:rsid w:val="00037529"/>
    <w:rsid w:val="00083F8A"/>
    <w:rsid w:val="000A18BC"/>
    <w:rsid w:val="000A72C4"/>
    <w:rsid w:val="000B2D40"/>
    <w:rsid w:val="00104AAB"/>
    <w:rsid w:val="00107562"/>
    <w:rsid w:val="00110EA5"/>
    <w:rsid w:val="00122A0E"/>
    <w:rsid w:val="00126724"/>
    <w:rsid w:val="001A219D"/>
    <w:rsid w:val="001B736C"/>
    <w:rsid w:val="001E13FC"/>
    <w:rsid w:val="00217B17"/>
    <w:rsid w:val="00223774"/>
    <w:rsid w:val="00227501"/>
    <w:rsid w:val="00233A72"/>
    <w:rsid w:val="002569EB"/>
    <w:rsid w:val="002625B0"/>
    <w:rsid w:val="002733B0"/>
    <w:rsid w:val="00292925"/>
    <w:rsid w:val="002942BC"/>
    <w:rsid w:val="002C12BB"/>
    <w:rsid w:val="002C2D81"/>
    <w:rsid w:val="00317C4F"/>
    <w:rsid w:val="00325572"/>
    <w:rsid w:val="00345450"/>
    <w:rsid w:val="003461B2"/>
    <w:rsid w:val="003549D3"/>
    <w:rsid w:val="003912DB"/>
    <w:rsid w:val="00414513"/>
    <w:rsid w:val="0043715B"/>
    <w:rsid w:val="00446C86"/>
    <w:rsid w:val="004937EC"/>
    <w:rsid w:val="004B324C"/>
    <w:rsid w:val="004C0181"/>
    <w:rsid w:val="004D3260"/>
    <w:rsid w:val="004F4D63"/>
    <w:rsid w:val="004F55A0"/>
    <w:rsid w:val="005212B3"/>
    <w:rsid w:val="0052418F"/>
    <w:rsid w:val="005700FE"/>
    <w:rsid w:val="005F60B6"/>
    <w:rsid w:val="00631FAC"/>
    <w:rsid w:val="00660682"/>
    <w:rsid w:val="00662DB9"/>
    <w:rsid w:val="006C1251"/>
    <w:rsid w:val="006D2189"/>
    <w:rsid w:val="007019EC"/>
    <w:rsid w:val="0071484D"/>
    <w:rsid w:val="007151BC"/>
    <w:rsid w:val="007263BC"/>
    <w:rsid w:val="00741797"/>
    <w:rsid w:val="00745913"/>
    <w:rsid w:val="0078553D"/>
    <w:rsid w:val="00797B40"/>
    <w:rsid w:val="007B1B0F"/>
    <w:rsid w:val="007B539B"/>
    <w:rsid w:val="007C4F9C"/>
    <w:rsid w:val="00805807"/>
    <w:rsid w:val="0081341D"/>
    <w:rsid w:val="00836776"/>
    <w:rsid w:val="00843A67"/>
    <w:rsid w:val="008A1BEC"/>
    <w:rsid w:val="008B2684"/>
    <w:rsid w:val="00907797"/>
    <w:rsid w:val="0092346C"/>
    <w:rsid w:val="00931C0C"/>
    <w:rsid w:val="00957962"/>
    <w:rsid w:val="00975014"/>
    <w:rsid w:val="00993249"/>
    <w:rsid w:val="009D7B11"/>
    <w:rsid w:val="00A13870"/>
    <w:rsid w:val="00A157CA"/>
    <w:rsid w:val="00A30F84"/>
    <w:rsid w:val="00A46E4A"/>
    <w:rsid w:val="00AB516D"/>
    <w:rsid w:val="00AF45B0"/>
    <w:rsid w:val="00B248BF"/>
    <w:rsid w:val="00B3199D"/>
    <w:rsid w:val="00B41017"/>
    <w:rsid w:val="00B4130C"/>
    <w:rsid w:val="00B5421E"/>
    <w:rsid w:val="00BC1E95"/>
    <w:rsid w:val="00BD22D6"/>
    <w:rsid w:val="00BE647A"/>
    <w:rsid w:val="00BF415F"/>
    <w:rsid w:val="00C0633A"/>
    <w:rsid w:val="00C33DA8"/>
    <w:rsid w:val="00C75751"/>
    <w:rsid w:val="00C95A28"/>
    <w:rsid w:val="00D014F1"/>
    <w:rsid w:val="00D52B6A"/>
    <w:rsid w:val="00D90994"/>
    <w:rsid w:val="00DA72C3"/>
    <w:rsid w:val="00DB07E9"/>
    <w:rsid w:val="00DB762E"/>
    <w:rsid w:val="00E6054D"/>
    <w:rsid w:val="00E85652"/>
    <w:rsid w:val="00EB6B71"/>
    <w:rsid w:val="00EE762C"/>
    <w:rsid w:val="00EF587B"/>
    <w:rsid w:val="00F148DD"/>
    <w:rsid w:val="00F61030"/>
    <w:rsid w:val="00FC0E71"/>
    <w:rsid w:val="00FF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D62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07797"/>
    <w:pPr>
      <w:keepNext/>
      <w:keepLines/>
      <w:numPr>
        <w:numId w:val="1"/>
      </w:numPr>
      <w:spacing w:before="240" w:line="259" w:lineRule="auto"/>
      <w:outlineLvl w:val="0"/>
    </w:pPr>
    <w:rPr>
      <w:rFonts w:asciiTheme="majorHAnsi" w:eastAsiaTheme="majorEastAsia" w:hAnsiTheme="majorHAnsi" w:cstheme="majorBidi"/>
      <w:b/>
      <w:sz w:val="28"/>
      <w:szCs w:val="3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07797"/>
    <w:rPr>
      <w:rFonts w:asciiTheme="majorHAnsi" w:eastAsiaTheme="majorEastAsia" w:hAnsiTheme="majorHAnsi" w:cstheme="majorBidi"/>
      <w:b/>
      <w:sz w:val="28"/>
      <w:szCs w:val="32"/>
    </w:rPr>
  </w:style>
  <w:style w:type="paragraph" w:customStyle="1" w:styleId="overskrift">
    <w:name w:val="overskrift"/>
    <w:basedOn w:val="Normal"/>
    <w:rsid w:val="00631FAC"/>
    <w:pPr>
      <w:tabs>
        <w:tab w:val="left" w:pos="4537"/>
        <w:tab w:val="left" w:pos="6804"/>
      </w:tabs>
    </w:pPr>
    <w:rPr>
      <w:b/>
      <w:caps/>
      <w:sz w:val="24"/>
    </w:rPr>
  </w:style>
  <w:style w:type="paragraph" w:customStyle="1" w:styleId="Default">
    <w:name w:val="Default"/>
    <w:rsid w:val="00631FA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C33DA8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B539B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B539B"/>
    <w:rPr>
      <w:rFonts w:ascii="Segoe UI" w:eastAsia="Times New Roman" w:hAnsi="Segoe UI" w:cs="Segoe UI"/>
      <w:sz w:val="18"/>
      <w:szCs w:val="18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126E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126ED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126ED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126E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126ED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Revisjon">
    <w:name w:val="Revision"/>
    <w:hidden/>
    <w:uiPriority w:val="99"/>
    <w:semiHidden/>
    <w:rsid w:val="000A7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E6054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6054D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E6054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6054D"/>
    <w:rPr>
      <w:rFonts w:ascii="Times New Roman" w:eastAsia="Times New Roman" w:hAnsi="Times New Roman" w:cs="Times New Roman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584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Utdanningsdirektoratet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Elli Louise Graarud</dc:creator>
  <cp:lastModifiedBy>Erik Holvik Rossvoll</cp:lastModifiedBy>
  <cp:revision>7</cp:revision>
  <cp:lastPrinted>2014-10-03T11:15:00Z</cp:lastPrinted>
  <dcterms:created xsi:type="dcterms:W3CDTF">2022-08-04T07:27:00Z</dcterms:created>
  <dcterms:modified xsi:type="dcterms:W3CDTF">2022-08-05T06:28:00Z</dcterms:modified>
</cp:coreProperties>
</file>